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4883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636D4884" w14:textId="77777777" w:rsidR="005A6CFE" w:rsidRDefault="005A6CFE" w:rsidP="00476B5E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36D4885" w14:textId="77777777" w:rsidR="00207728" w:rsidRPr="008C4D90" w:rsidRDefault="00207728" w:rsidP="00D9789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36D4886" w14:textId="77777777" w:rsidR="00207728" w:rsidRPr="008C4D90" w:rsidRDefault="00011F8A" w:rsidP="00D9789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Hold, Witness and Review Advice</w:t>
      </w:r>
    </w:p>
    <w:p w14:paraId="636D4887" w14:textId="77777777" w:rsidR="00207728" w:rsidRPr="008C4D90" w:rsidRDefault="00011F8A" w:rsidP="00D9789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QA205</w:t>
      </w:r>
    </w:p>
    <w:p w14:paraId="636D4888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36D4889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36D488A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636D488B" w14:textId="2A2AF58C" w:rsidR="00207728" w:rsidRPr="008C4D90" w:rsidRDefault="009E666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36D488C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36D488D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36D488E" w14:textId="77777777" w:rsidR="00207728" w:rsidRPr="008C4D90" w:rsidRDefault="00207728" w:rsidP="00201296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36D488F" w14:textId="7777777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D97892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636D4890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636D4893" w14:textId="77777777" w:rsidTr="00F52621">
        <w:tc>
          <w:tcPr>
            <w:tcW w:w="4788" w:type="dxa"/>
          </w:tcPr>
          <w:p w14:paraId="636D4891" w14:textId="77777777" w:rsidR="00312D1F" w:rsidRPr="008C4D90" w:rsidRDefault="00011F8A" w:rsidP="00011F8A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Hold, Witness and Review Advice</w:t>
            </w:r>
          </w:p>
        </w:tc>
        <w:tc>
          <w:tcPr>
            <w:tcW w:w="4788" w:type="dxa"/>
          </w:tcPr>
          <w:p w14:paraId="636D4892" w14:textId="77777777" w:rsidR="00312D1F" w:rsidRPr="008C4D90" w:rsidRDefault="00312D1F" w:rsidP="0078568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8C4D9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QA20</w:t>
            </w:r>
            <w:r w:rsidR="00011F8A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5</w:t>
            </w:r>
          </w:p>
        </w:tc>
      </w:tr>
    </w:tbl>
    <w:p w14:paraId="636D4894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36D4895" w14:textId="0EB54FA7" w:rsidR="00011F8A" w:rsidRPr="00CB03EE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A4EA4">
        <w:rPr>
          <w:rFonts w:ascii="Arial" w:eastAsia="Times New Roman" w:hAnsi="Arial" w:cs="Arial"/>
          <w:sz w:val="16"/>
          <w:szCs w:val="16"/>
          <w:lang w:val="en-GB"/>
        </w:rPr>
        <w:t>The Hold, Witness and Review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Advice is intended to make the Quality Assurance Authority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 xml:space="preserve"> aware of any upcoming hold, witness, review and </w:t>
      </w:r>
      <w:r>
        <w:rPr>
          <w:rFonts w:ascii="Arial" w:eastAsia="Times New Roman" w:hAnsi="Arial" w:cs="Arial"/>
          <w:sz w:val="16"/>
          <w:szCs w:val="16"/>
          <w:lang w:val="en-GB"/>
        </w:rPr>
        <w:t>Acceptance Event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 xml:space="preserve"> agreed in the In</w:t>
      </w:r>
      <w:r>
        <w:rPr>
          <w:rFonts w:ascii="Arial" w:eastAsia="Times New Roman" w:hAnsi="Arial" w:cs="Arial"/>
          <w:sz w:val="16"/>
          <w:szCs w:val="16"/>
          <w:lang w:val="en-GB"/>
        </w:rPr>
        <w:t>sp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>ection and Test Plan (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see </w:t>
      </w:r>
      <w:r w:rsidR="0051780F">
        <w:rPr>
          <w:rFonts w:ascii="Arial" w:eastAsia="Times New Roman" w:hAnsi="Arial" w:cs="Arial"/>
          <w:sz w:val="16"/>
          <w:szCs w:val="16"/>
          <w:lang w:val="en-GB"/>
        </w:rPr>
        <w:t>SDRL QA203 and DID QA20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val="en-GB"/>
        </w:rPr>
        <w:t>that the Purchaser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 xml:space="preserve"> may wish to attend or witness</w:t>
      </w:r>
      <w:r w:rsidRPr="00FA4EA4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36D4896" w14:textId="77777777" w:rsidR="00011F8A" w:rsidRPr="002512D9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36D4897" w14:textId="77777777" w:rsidR="00011F8A" w:rsidRPr="002512D9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36D4898" w14:textId="77777777" w:rsidR="00011F8A" w:rsidRPr="002512D9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36D4899" w14:textId="77777777" w:rsidR="00011F8A" w:rsidRPr="00CB03EE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(SOW).</w:t>
      </w:r>
    </w:p>
    <w:p w14:paraId="636D489A" w14:textId="77777777" w:rsidR="00011F8A" w:rsidRPr="002512D9" w:rsidRDefault="00011F8A" w:rsidP="00011F8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36D489B" w14:textId="77777777" w:rsidR="00011F8A" w:rsidRPr="00FA4EA4" w:rsidRDefault="00011F8A" w:rsidP="00011F8A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Supplier’s Hold, Witness and Review Advice </w:t>
      </w:r>
      <w:r w:rsidRPr="00FA4EA4">
        <w:rPr>
          <w:rFonts w:ascii="Arial" w:eastAsia="Times New Roman" w:hAnsi="Arial" w:cs="Arial"/>
          <w:sz w:val="16"/>
          <w:szCs w:val="16"/>
          <w:lang w:val="en-GB"/>
        </w:rPr>
        <w:t>shall be prepared in the following format and contain the following information: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84"/>
        <w:gridCol w:w="3244"/>
      </w:tblGrid>
      <w:tr w:rsidR="00011F8A" w:rsidRPr="00FA4EA4" w14:paraId="636D489F" w14:textId="77777777" w:rsidTr="009752D0">
        <w:tc>
          <w:tcPr>
            <w:tcW w:w="3261" w:type="dxa"/>
          </w:tcPr>
          <w:p w14:paraId="636D489C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FA4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Description of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Hold, Witness, Review or </w:t>
            </w:r>
            <w:r w:rsidRPr="00FA4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Acceptance Event</w:t>
            </w:r>
          </w:p>
        </w:tc>
        <w:tc>
          <w:tcPr>
            <w:tcW w:w="2284" w:type="dxa"/>
          </w:tcPr>
          <w:p w14:paraId="636D489D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FA4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3244" w:type="dxa"/>
          </w:tcPr>
          <w:p w14:paraId="636D489E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FA4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Date</w:t>
            </w:r>
          </w:p>
        </w:tc>
      </w:tr>
      <w:tr w:rsidR="00011F8A" w:rsidRPr="00FA4EA4" w14:paraId="636D48A3" w14:textId="77777777" w:rsidTr="009752D0">
        <w:tc>
          <w:tcPr>
            <w:tcW w:w="3261" w:type="dxa"/>
          </w:tcPr>
          <w:p w14:paraId="636D48A0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 insert description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2284" w:type="dxa"/>
          </w:tcPr>
          <w:p w14:paraId="636D48A1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 insert location where the hold, witness, Review or Acceptance Event will take place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3244" w:type="dxa"/>
          </w:tcPr>
          <w:p w14:paraId="636D48A2" w14:textId="77777777" w:rsidR="00011F8A" w:rsidRPr="00FA4EA4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* insert </w:t>
            </w: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DDMMMYY]</w:t>
            </w:r>
          </w:p>
        </w:tc>
      </w:tr>
      <w:tr w:rsidR="00011F8A" w:rsidRPr="00FA4EA4" w14:paraId="636D48A7" w14:textId="77777777" w:rsidTr="009752D0">
        <w:tc>
          <w:tcPr>
            <w:tcW w:w="3261" w:type="dxa"/>
          </w:tcPr>
          <w:p w14:paraId="636D48A4" w14:textId="77777777" w:rsidR="00011F8A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Etc…</w:t>
            </w:r>
          </w:p>
        </w:tc>
        <w:tc>
          <w:tcPr>
            <w:tcW w:w="2284" w:type="dxa"/>
          </w:tcPr>
          <w:p w14:paraId="636D48A5" w14:textId="77777777" w:rsidR="00011F8A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44" w:type="dxa"/>
          </w:tcPr>
          <w:p w14:paraId="636D48A6" w14:textId="77777777" w:rsidR="00011F8A" w:rsidRDefault="00011F8A" w:rsidP="009752D0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636D48A8" w14:textId="77777777" w:rsidR="00011F8A" w:rsidRPr="00B203FE" w:rsidRDefault="00011F8A" w:rsidP="00011F8A">
      <w:pPr>
        <w:spacing w:before="240"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2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A separate Hold, Witness and Review Advice shall be submitted for each Acceptance Event.</w:t>
      </w:r>
    </w:p>
    <w:p w14:paraId="636D48A9" w14:textId="77777777" w:rsidR="00BA7F66" w:rsidRPr="008C4D90" w:rsidRDefault="00BA7F66" w:rsidP="00011F8A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sectPr w:rsidR="00BA7F66" w:rsidRPr="008C4D90" w:rsidSect="00E61F3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48AC" w14:textId="77777777" w:rsidR="00B03DB8" w:rsidRDefault="00B03DB8" w:rsidP="0095032B">
      <w:pPr>
        <w:spacing w:after="0" w:line="240" w:lineRule="auto"/>
      </w:pPr>
      <w:r>
        <w:separator/>
      </w:r>
    </w:p>
  </w:endnote>
  <w:endnote w:type="continuationSeparator" w:id="0">
    <w:p w14:paraId="636D48AD" w14:textId="77777777" w:rsidR="00B03DB8" w:rsidRDefault="00B03DB8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F1D8D" w:rsidRPr="00FF1D8D" w14:paraId="06CB0F2F" w14:textId="77777777" w:rsidTr="00870CC7">
      <w:trPr>
        <w:trHeight w:val="141"/>
      </w:trPr>
      <w:tc>
        <w:tcPr>
          <w:tcW w:w="2943" w:type="dxa"/>
        </w:tcPr>
        <w:p w14:paraId="0F517790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4364845D" w14:textId="77777777" w:rsidR="00FF1D8D" w:rsidRPr="00FF1D8D" w:rsidRDefault="00FF1D8D" w:rsidP="00FF1D8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FF1D8D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81655379"/>
            <w:docPartObj>
              <w:docPartGallery w:val="Page Numbers (Top of Page)"/>
              <w:docPartUnique/>
            </w:docPartObj>
          </w:sdtPr>
          <w:sdtContent>
            <w:p w14:paraId="0236AE58" w14:textId="77777777" w:rsidR="00FF1D8D" w:rsidRPr="00FF1D8D" w:rsidRDefault="00FF1D8D" w:rsidP="00FF1D8D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F1D8D" w:rsidRPr="00FF1D8D" w14:paraId="1F34CC77" w14:textId="77777777" w:rsidTr="00870CC7">
      <w:trPr>
        <w:trHeight w:val="64"/>
      </w:trPr>
      <w:tc>
        <w:tcPr>
          <w:tcW w:w="2943" w:type="dxa"/>
          <w:vAlign w:val="bottom"/>
        </w:tcPr>
        <w:p w14:paraId="37122DCF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F741D5B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496FB55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FF1D8D" w:rsidRPr="00FF1D8D" w14:paraId="7D82791F" w14:textId="77777777" w:rsidTr="00870CC7">
      <w:trPr>
        <w:trHeight w:val="64"/>
      </w:trPr>
      <w:tc>
        <w:tcPr>
          <w:tcW w:w="2943" w:type="dxa"/>
          <w:vAlign w:val="bottom"/>
        </w:tcPr>
        <w:p w14:paraId="4794A9E0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2D45DC81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6C290A71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36D48C6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F1D8D" w:rsidRPr="00FF1D8D" w14:paraId="344F4E24" w14:textId="77777777" w:rsidTr="00870CC7">
      <w:trPr>
        <w:trHeight w:val="141"/>
      </w:trPr>
      <w:tc>
        <w:tcPr>
          <w:tcW w:w="2943" w:type="dxa"/>
        </w:tcPr>
        <w:p w14:paraId="68760BE9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13B3E521" w14:textId="77777777" w:rsidR="00FF1D8D" w:rsidRPr="00FF1D8D" w:rsidRDefault="00FF1D8D" w:rsidP="00FF1D8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FF1D8D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7769E3A6" w14:textId="77777777" w:rsidR="00FF1D8D" w:rsidRPr="00FF1D8D" w:rsidRDefault="00FF1D8D" w:rsidP="00FF1D8D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FF1D8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F1D8D" w:rsidRPr="00FF1D8D" w14:paraId="6606E4C7" w14:textId="77777777" w:rsidTr="00870CC7">
      <w:trPr>
        <w:trHeight w:val="64"/>
      </w:trPr>
      <w:tc>
        <w:tcPr>
          <w:tcW w:w="2943" w:type="dxa"/>
          <w:vAlign w:val="bottom"/>
        </w:tcPr>
        <w:p w14:paraId="61759810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757879C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3FA57CA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FF1D8D" w:rsidRPr="00FF1D8D" w14:paraId="14897007" w14:textId="77777777" w:rsidTr="00870CC7">
      <w:trPr>
        <w:trHeight w:val="64"/>
      </w:trPr>
      <w:tc>
        <w:tcPr>
          <w:tcW w:w="2943" w:type="dxa"/>
          <w:vAlign w:val="bottom"/>
        </w:tcPr>
        <w:p w14:paraId="3183A4FF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225DAA66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E5EC3C6" w14:textId="77777777" w:rsidR="00FF1D8D" w:rsidRPr="00FF1D8D" w:rsidRDefault="00FF1D8D" w:rsidP="00FF1D8D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FF1D8D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36D48DE" w14:textId="77777777" w:rsidR="00B068F6" w:rsidRDefault="00B0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48AA" w14:textId="77777777" w:rsidR="00B03DB8" w:rsidRDefault="00B03DB8" w:rsidP="0095032B">
      <w:pPr>
        <w:spacing w:after="0" w:line="240" w:lineRule="auto"/>
      </w:pPr>
      <w:r>
        <w:separator/>
      </w:r>
    </w:p>
  </w:footnote>
  <w:footnote w:type="continuationSeparator" w:id="0">
    <w:p w14:paraId="636D48AB" w14:textId="77777777" w:rsidR="00B03DB8" w:rsidRDefault="00B03DB8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FF1D8D" w:rsidRPr="00D15F8B" w14:paraId="5D5480A2" w14:textId="77777777" w:rsidTr="00870CC7">
      <w:trPr>
        <w:trHeight w:val="813"/>
      </w:trPr>
      <w:tc>
        <w:tcPr>
          <w:tcW w:w="2600" w:type="dxa"/>
        </w:tcPr>
        <w:p w14:paraId="1A8BEBD2" w14:textId="77777777" w:rsidR="00FF1D8D" w:rsidRPr="006D429A" w:rsidRDefault="00FF1D8D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DD7AE08" wp14:editId="263C20F4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4E2A166" w14:textId="77777777" w:rsidR="00FF1D8D" w:rsidRPr="00476B5E" w:rsidRDefault="00FF1D8D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05566BD3" w14:textId="77777777" w:rsidR="00FF1D8D" w:rsidRPr="00476B5E" w:rsidRDefault="00FF1D8D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476B5E">
            <w:rPr>
              <w:rFonts w:ascii="Arial" w:hAnsi="Arial" w:cs="Arial"/>
              <w:color w:val="808080"/>
              <w:sz w:val="14"/>
              <w:szCs w:val="14"/>
              <w:lang w:val="en-GB"/>
            </w:rPr>
            <w:t>Hold, Witness and Review Advice, Rev 0</w:t>
          </w:r>
        </w:p>
        <w:p w14:paraId="5F731FBE" w14:textId="77777777" w:rsidR="00FF1D8D" w:rsidRPr="00476B5E" w:rsidRDefault="00FF1D8D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5E95AEAA" w14:textId="77777777" w:rsidR="00FF1D8D" w:rsidRPr="00476B5E" w:rsidRDefault="00FF1D8D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2F5A8627" w14:textId="77777777" w:rsidR="00FF1D8D" w:rsidRPr="00FF1D8D" w:rsidRDefault="00FF1D8D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highlight w:val="yellow"/>
            </w:rPr>
          </w:pPr>
          <w:r w:rsidRPr="00FF1D8D">
            <w:rPr>
              <w:rFonts w:ascii="Arial" w:hAnsi="Arial" w:cs="Arial"/>
              <w:sz w:val="12"/>
              <w:szCs w:val="12"/>
              <w:highlight w:val="yellow"/>
              <w:lang w:val="en-GB"/>
            </w:rPr>
            <w:t xml:space="preserve">Document #: </w:t>
          </w:r>
          <w:r w:rsidRPr="00FF1D8D">
            <w:rPr>
              <w:rFonts w:ascii="Arial" w:hAnsi="Arial" w:cs="Arial"/>
              <w:sz w:val="12"/>
              <w:szCs w:val="12"/>
              <w:highlight w:val="yellow"/>
            </w:rPr>
            <w:t>N/A</w:t>
          </w:r>
        </w:p>
        <w:p w14:paraId="3ED94A34" w14:textId="77777777" w:rsidR="00FF1D8D" w:rsidRDefault="00FF1D8D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FF1D8D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31008409" w14:textId="77777777" w:rsidR="00FF1D8D" w:rsidRDefault="00FF1D8D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7BD60A42" w14:textId="77777777" w:rsidR="00FF1D8D" w:rsidRPr="00D97892" w:rsidRDefault="00FF1D8D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636D48B9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E61F38" w:rsidRPr="00D15F8B" w14:paraId="636D48D0" w14:textId="77777777" w:rsidTr="00A07684">
      <w:trPr>
        <w:trHeight w:val="813"/>
      </w:trPr>
      <w:tc>
        <w:tcPr>
          <w:tcW w:w="2600" w:type="dxa"/>
        </w:tcPr>
        <w:p w14:paraId="636D48C7" w14:textId="77777777" w:rsidR="00E61F38" w:rsidRPr="006D429A" w:rsidRDefault="00E61F38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36D48E1" wp14:editId="636D48E2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36D48C8" w14:textId="77777777" w:rsidR="00E61F38" w:rsidRPr="00476B5E" w:rsidRDefault="00E61F38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36D48C9" w14:textId="77777777" w:rsidR="00E61F38" w:rsidRPr="00476B5E" w:rsidRDefault="00E61F38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476B5E">
            <w:rPr>
              <w:rFonts w:ascii="Arial" w:hAnsi="Arial" w:cs="Arial"/>
              <w:color w:val="808080"/>
              <w:sz w:val="14"/>
              <w:szCs w:val="14"/>
              <w:lang w:val="en-GB"/>
            </w:rPr>
            <w:t>Hold, Witness and Review Advice, Rev 0</w:t>
          </w:r>
        </w:p>
        <w:p w14:paraId="636D48CA" w14:textId="77777777" w:rsidR="00E61F38" w:rsidRPr="00476B5E" w:rsidRDefault="00E61F38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36D48CB" w14:textId="77777777" w:rsidR="00E61F38" w:rsidRPr="00476B5E" w:rsidRDefault="00E61F38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36D48CC" w14:textId="77777777" w:rsidR="00D97892" w:rsidRPr="00FF1D8D" w:rsidRDefault="00D97892" w:rsidP="00D9789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highlight w:val="yellow"/>
            </w:rPr>
          </w:pPr>
          <w:r w:rsidRPr="00FF1D8D">
            <w:rPr>
              <w:rFonts w:ascii="Arial" w:hAnsi="Arial" w:cs="Arial"/>
              <w:sz w:val="12"/>
              <w:szCs w:val="12"/>
              <w:highlight w:val="yellow"/>
              <w:lang w:val="en-GB"/>
            </w:rPr>
            <w:t xml:space="preserve">Document #: </w:t>
          </w:r>
          <w:r w:rsidRPr="00FF1D8D">
            <w:rPr>
              <w:rFonts w:ascii="Arial" w:hAnsi="Arial" w:cs="Arial"/>
              <w:sz w:val="12"/>
              <w:szCs w:val="12"/>
              <w:highlight w:val="yellow"/>
            </w:rPr>
            <w:t>N/A</w:t>
          </w:r>
        </w:p>
        <w:p w14:paraId="636D48CD" w14:textId="77777777" w:rsidR="00D97892" w:rsidRDefault="00D97892" w:rsidP="00D9789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FF1D8D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636D48CE" w14:textId="77777777" w:rsidR="00D97892" w:rsidRDefault="00D97892" w:rsidP="00D9789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636D48CF" w14:textId="77777777" w:rsidR="00E61F38" w:rsidRPr="00D97892" w:rsidRDefault="00D97892" w:rsidP="00D97892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636D48D1" w14:textId="77777777" w:rsidR="00B068F6" w:rsidRPr="00E61F38" w:rsidRDefault="00B068F6" w:rsidP="00E6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0637"/>
    <w:rsid w:val="000E13E5"/>
    <w:rsid w:val="000E1970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1296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3C18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76B5E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780F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A6CF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E6668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03DB8"/>
    <w:rsid w:val="00B068F6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173F"/>
    <w:rsid w:val="00D123C7"/>
    <w:rsid w:val="00D15101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97892"/>
    <w:rsid w:val="00DA0DD8"/>
    <w:rsid w:val="00DD5B56"/>
    <w:rsid w:val="00DE711A"/>
    <w:rsid w:val="00DF7722"/>
    <w:rsid w:val="00E06E68"/>
    <w:rsid w:val="00E10EE8"/>
    <w:rsid w:val="00E61F38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76073"/>
    <w:rsid w:val="00FA7D18"/>
    <w:rsid w:val="00FC4CA9"/>
    <w:rsid w:val="00FF1D8D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6D4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F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F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6F59-4216-404F-8353-4D18EDB8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F2C1B-BA73-4DAB-8E75-478CEDD54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EB2BD-2DED-42F2-9EDA-AE6D7CF841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BDC63BD-C0B1-4226-8ED4-5B718AA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2017-04-12T14:51:00Z</cp:lastPrinted>
  <dcterms:created xsi:type="dcterms:W3CDTF">2017-04-12T22:37:00Z</dcterms:created>
  <dcterms:modified xsi:type="dcterms:W3CDTF">2018-06-06T00:00:00Z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