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BCB2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01DBCB3" w14:textId="77777777" w:rsidR="00207728" w:rsidRDefault="00916EF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Obsolescence Notice Report</w:t>
      </w:r>
    </w:p>
    <w:p w14:paraId="601DBCB4" w14:textId="77777777" w:rsidR="00207728" w:rsidRPr="000B5C94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0B5C94">
        <w:rPr>
          <w:rFonts w:ascii="Arial" w:eastAsia="Times New Roman" w:hAnsi="Arial" w:cs="Arial"/>
          <w:b/>
          <w:sz w:val="44"/>
          <w:szCs w:val="24"/>
        </w:rPr>
        <w:t>ILS-</w:t>
      </w:r>
      <w:r w:rsidR="008C551B" w:rsidRPr="000B5C94">
        <w:rPr>
          <w:rFonts w:ascii="Arial" w:eastAsia="Times New Roman" w:hAnsi="Arial" w:cs="Arial"/>
          <w:b/>
          <w:sz w:val="44"/>
          <w:szCs w:val="24"/>
        </w:rPr>
        <w:t>043-0</w:t>
      </w:r>
      <w:r w:rsidR="00916EF1" w:rsidRPr="000B5C94">
        <w:rPr>
          <w:rFonts w:ascii="Arial" w:eastAsia="Times New Roman" w:hAnsi="Arial" w:cs="Arial"/>
          <w:b/>
          <w:sz w:val="44"/>
          <w:szCs w:val="24"/>
        </w:rPr>
        <w:t>3</w:t>
      </w:r>
      <w:r w:rsidR="008C551B" w:rsidRPr="000B5C94">
        <w:rPr>
          <w:rFonts w:ascii="Arial" w:eastAsia="Times New Roman" w:hAnsi="Arial" w:cs="Arial"/>
          <w:b/>
          <w:sz w:val="44"/>
          <w:szCs w:val="24"/>
        </w:rPr>
        <w:t>0</w:t>
      </w:r>
    </w:p>
    <w:p w14:paraId="601DBCB5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01DBCB6" w14:textId="0634B392" w:rsidR="00D43CDA" w:rsidRPr="00666A89" w:rsidRDefault="00BC4FC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01DBCB7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01DBCB8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01DBCB9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01DBCBA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01DBCBB" w14:textId="77777777" w:rsidR="00452440" w:rsidRPr="00452440" w:rsidRDefault="00D43CDA" w:rsidP="00452440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452440" w14:paraId="601DBCBD" w14:textId="77777777" w:rsidTr="005A2B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BC" w14:textId="77777777" w:rsidR="00452440" w:rsidRPr="00310AE6" w:rsidRDefault="00452440" w:rsidP="005A2B8A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452440" w14:paraId="601DBCC2" w14:textId="77777777" w:rsidTr="005A2B8A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BE" w14:textId="77777777" w:rsidR="00452440" w:rsidRPr="00310AE6" w:rsidRDefault="00452440" w:rsidP="0017341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01DBCBF" w14:textId="77777777" w:rsidR="00452440" w:rsidRPr="00310AE6" w:rsidRDefault="00452440" w:rsidP="005612D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Obsolescence Notices Report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C0" w14:textId="77777777" w:rsidR="00452440" w:rsidRPr="00310AE6" w:rsidRDefault="00452440" w:rsidP="0017341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01DBCC1" w14:textId="77777777" w:rsidR="00452440" w:rsidRPr="00310AE6" w:rsidRDefault="00452440" w:rsidP="005612D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396733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-043-</w:t>
            </w:r>
            <w:r w:rsidR="00CE1F7C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30</w:t>
            </w:r>
          </w:p>
        </w:tc>
      </w:tr>
      <w:tr w:rsidR="00452440" w14:paraId="601DBCC9" w14:textId="77777777" w:rsidTr="005A2B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C3" w14:textId="77777777" w:rsidR="00452440" w:rsidRPr="001F52AF" w:rsidRDefault="00452440" w:rsidP="0017341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01DBCC4" w14:textId="77777777" w:rsidR="000B5C94" w:rsidRPr="000B5C94" w:rsidRDefault="000B5C94" w:rsidP="000B5C94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The purpose of the Obsolescence report is to provide a report on the analysis performed of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risks of obsolescence during design, build and delivery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the second period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during the lifecycle of operation and sustainment.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The analysis is to be developed against the designing, building,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operating and sustaining of systems, equipment and material and for:</w:t>
            </w:r>
          </w:p>
          <w:p w14:paraId="601DBCC5" w14:textId="77777777" w:rsidR="000B5C94" w:rsidRPr="000B5C94" w:rsidRDefault="000B5C94" w:rsidP="0017341B">
            <w:pPr>
              <w:pStyle w:val="ListParagraph"/>
              <w:numPr>
                <w:ilvl w:val="0"/>
                <w:numId w:val="10"/>
              </w:num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Risks of obsolescence,</w:t>
            </w:r>
          </w:p>
          <w:p w14:paraId="601DBCC6" w14:textId="77777777" w:rsidR="000B5C94" w:rsidRPr="000B5C94" w:rsidRDefault="000B5C94" w:rsidP="0017341B">
            <w:pPr>
              <w:pStyle w:val="ListParagraph"/>
              <w:numPr>
                <w:ilvl w:val="0"/>
                <w:numId w:val="10"/>
              </w:num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Opportunity of interchangeability or prevalence of items</w:t>
            </w:r>
            <w:r w:rsidR="004E37F3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1DBCC7" w14:textId="77777777" w:rsidR="000B5C94" w:rsidRDefault="000B5C94" w:rsidP="0017341B">
            <w:pPr>
              <w:pStyle w:val="ListParagraph"/>
              <w:numPr>
                <w:ilvl w:val="0"/>
                <w:numId w:val="10"/>
              </w:num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Risks of the loss or impending loss of manufacturers/suppliers parts and material require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d.</w:t>
            </w:r>
          </w:p>
          <w:p w14:paraId="601DBCC8" w14:textId="77777777" w:rsidR="00452440" w:rsidRPr="000B5C94" w:rsidRDefault="00452440" w:rsidP="004E37F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The Obsolescence Notice Report provides det</w:t>
            </w:r>
            <w:r w:rsidR="004E37F3">
              <w:rPr>
                <w:rFonts w:ascii="Arial" w:hAnsi="Arial" w:cs="Arial"/>
                <w:sz w:val="20"/>
                <w:szCs w:val="20"/>
                <w:lang w:val="en-AU" w:eastAsia="en-AU"/>
              </w:rPr>
              <w:t>ails of the supplier's analysis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, and proposed recommendations for managing the expected obsolescence of the equipment. </w:t>
            </w:r>
            <w:r w:rsid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This ensure</w:t>
            </w:r>
            <w:r w:rsid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Pr="000B5C9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purchaser is made aware of expected equipment obsolescence as well as recommendations for replacement and maintenance of the equipment in the future.</w:t>
            </w:r>
          </w:p>
        </w:tc>
      </w:tr>
      <w:tr w:rsidR="00452440" w14:paraId="601DBCCD" w14:textId="77777777" w:rsidTr="005A2B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CA" w14:textId="77777777" w:rsidR="00452440" w:rsidRDefault="00452440" w:rsidP="0017341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01DBCCB" w14:textId="77777777" w:rsidR="004D248A" w:rsidRPr="008E6E67" w:rsidRDefault="004D248A" w:rsidP="004D248A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601DBCCC" w14:textId="77777777" w:rsidR="00452440" w:rsidRPr="00310AE6" w:rsidRDefault="004D248A" w:rsidP="004D248A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452440" w14:paraId="601DBCD4" w14:textId="77777777" w:rsidTr="005A2B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CE" w14:textId="77777777" w:rsidR="00452440" w:rsidRDefault="00452440" w:rsidP="0017341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01DBCCF" w14:textId="77777777" w:rsidR="00452440" w:rsidRPr="005612D3" w:rsidRDefault="00452440" w:rsidP="005612D3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01DBCD0" w14:textId="77777777" w:rsidR="00452440" w:rsidRPr="001F52AF" w:rsidRDefault="00452440" w:rsidP="0017341B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601DBCD1" w14:textId="77777777" w:rsidR="00452440" w:rsidRPr="001F52AF" w:rsidRDefault="00452440" w:rsidP="0017341B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01DBCD2" w14:textId="77777777" w:rsidR="00452440" w:rsidRDefault="00452440" w:rsidP="0017341B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396733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601DBCD3" w14:textId="77777777" w:rsidR="00396733" w:rsidRPr="00396733" w:rsidRDefault="00396733" w:rsidP="00396733">
            <w:p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452440" w14:paraId="601DBCEC" w14:textId="77777777" w:rsidTr="005A2B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1DBCD5" w14:textId="77777777" w:rsidR="00452440" w:rsidRPr="0017341B" w:rsidRDefault="00452440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CONTENT</w:t>
            </w:r>
          </w:p>
          <w:p w14:paraId="601DBCD6" w14:textId="77777777" w:rsidR="00452440" w:rsidRDefault="00452440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52440">
              <w:rPr>
                <w:rFonts w:ascii="Arial" w:hAnsi="Arial" w:cs="Arial"/>
                <w:sz w:val="20"/>
                <w:szCs w:val="20"/>
                <w:lang w:val="en-AU" w:eastAsia="en-AU"/>
              </w:rPr>
              <w:t>The Obsolescence Notice Report shall provide OEM obsolescence notices and recommendations, where applicable.</w:t>
            </w:r>
          </w:p>
          <w:p w14:paraId="601DBCD7" w14:textId="77777777" w:rsidR="00452440" w:rsidRDefault="00452440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52440">
              <w:rPr>
                <w:rFonts w:ascii="Arial" w:hAnsi="Arial" w:cs="Arial"/>
                <w:sz w:val="20"/>
                <w:szCs w:val="20"/>
                <w:lang w:val="en-AU" w:eastAsia="en-AU"/>
              </w:rPr>
              <w:t>The Obsolescence Notice Report shall include all information required for general understanding and shall define all special terms and acronyms used.</w:t>
            </w:r>
          </w:p>
          <w:p w14:paraId="601DBCD8" w14:textId="77777777" w:rsidR="0017341B" w:rsidRPr="0017341B" w:rsidRDefault="0017341B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45244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Obsolescence Notice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Report must contain an analysis of the risks of obsolescence:</w:t>
            </w:r>
          </w:p>
          <w:p w14:paraId="601DBCD9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First, during V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SY’s design, build and delivery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1DBCDA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Second, during the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lifecycle of operation and sustainment.</w:t>
            </w:r>
          </w:p>
          <w:p w14:paraId="601DBCDB" w14:textId="77777777" w:rsidR="0017341B" w:rsidRPr="0017341B" w:rsidRDefault="0017341B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45244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Obsolescence Notice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Report must explain the method utilized for analysis, including:</w:t>
            </w:r>
          </w:p>
          <w:p w14:paraId="601DBCDC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of the nature of information requested from suppliers, including data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available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data utilized;</w:t>
            </w:r>
          </w:p>
          <w:p w14:paraId="601DBCDD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data validation performed, and the results;</w:t>
            </w:r>
          </w:p>
          <w:p w14:paraId="601DBCDE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analysis performed;</w:t>
            </w:r>
          </w:p>
          <w:p w14:paraId="601DBCDF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risks and opportunities identified; and</w:t>
            </w:r>
          </w:p>
          <w:p w14:paraId="601DBCE0" w14:textId="77777777" w:rsidR="0017341B" w:rsidRP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strategies already in-place, suggested, or newly implemented for enabling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positive outcomes.</w:t>
            </w:r>
          </w:p>
          <w:p w14:paraId="601DBCE1" w14:textId="77777777" w:rsidR="0017341B" w:rsidRPr="0017341B" w:rsidRDefault="0017341B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The report must explain the analysis and results for the first period.</w:t>
            </w:r>
          </w:p>
          <w:p w14:paraId="601DBCE2" w14:textId="77777777" w:rsidR="0017341B" w:rsidRDefault="0017341B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7341B">
              <w:rPr>
                <w:rFonts w:ascii="Arial" w:hAnsi="Arial" w:cs="Arial"/>
                <w:sz w:val="20"/>
                <w:szCs w:val="20"/>
                <w:lang w:val="en-AU" w:eastAsia="en-AU"/>
              </w:rPr>
              <w:t>The report must explain the analysis and results for the second period.</w:t>
            </w:r>
          </w:p>
          <w:p w14:paraId="601DBCE3" w14:textId="77777777" w:rsidR="0017341B" w:rsidRDefault="0017341B" w:rsidP="0017341B">
            <w:pPr>
              <w:pStyle w:val="ListParagraph"/>
              <w:numPr>
                <w:ilvl w:val="0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</w:t>
            </w:r>
            <w:r w:rsidRPr="0045244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Obsolescence Notice Report shall include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following:</w:t>
            </w:r>
          </w:p>
          <w:p w14:paraId="601DBCE4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Configuration Item (CI) List in the Technical Data Package (TDP),</w:t>
            </w:r>
          </w:p>
          <w:p w14:paraId="601DBCE5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N</w:t>
            </w:r>
            <w:r w:rsidRPr="00A57072">
              <w:rPr>
                <w:rFonts w:ascii="Arial" w:hAnsi="Arial" w:cs="Arial"/>
                <w:sz w:val="20"/>
                <w:szCs w:val="20"/>
                <w:lang w:val="en-AU" w:eastAsia="en-AU"/>
              </w:rPr>
              <w:t>omenclature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1DBCE6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Date of Obsolescence Notice Release,</w:t>
            </w:r>
          </w:p>
          <w:p w14:paraId="601DBCE7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End of Sale Date,</w:t>
            </w:r>
          </w:p>
          <w:p w14:paraId="601DBCE8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End of Support Date,</w:t>
            </w:r>
          </w:p>
          <w:p w14:paraId="601DBCE9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impact on systems affected,</w:t>
            </w:r>
          </w:p>
          <w:p w14:paraId="601DBCEA" w14:textId="77777777" w:rsidR="0017341B" w:rsidRDefault="0017341B" w:rsidP="0017341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Supplier’s recommendations.</w:t>
            </w:r>
          </w:p>
          <w:p w14:paraId="601DBCEB" w14:textId="77777777" w:rsidR="00396733" w:rsidRPr="00396733" w:rsidRDefault="00396733" w:rsidP="0017341B">
            <w:pPr>
              <w:spacing w:before="120" w:after="120"/>
              <w:ind w:left="1134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01DBCED" w14:textId="77777777" w:rsidR="005106FA" w:rsidRDefault="005106FA" w:rsidP="00B15829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5106FA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DBCF0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01DBCF1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A6B27" w14:paraId="3E42C68A" w14:textId="77777777" w:rsidTr="009A495A">
      <w:trPr>
        <w:trHeight w:val="141"/>
      </w:trPr>
      <w:tc>
        <w:tcPr>
          <w:tcW w:w="2943" w:type="dxa"/>
        </w:tcPr>
        <w:p w14:paraId="194623DE" w14:textId="77777777" w:rsidR="001A6B27" w:rsidRPr="00EC4367" w:rsidRDefault="001A6B2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2DAC142" w14:textId="77777777" w:rsidR="001A6B27" w:rsidRPr="00EC4367" w:rsidRDefault="001A6B27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0D34D101" w14:textId="77777777" w:rsidR="001A6B27" w:rsidRPr="002F7EC1" w:rsidRDefault="001A6B27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25C8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25C8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A6B27" w14:paraId="26B5C7C0" w14:textId="77777777" w:rsidTr="009A495A">
      <w:trPr>
        <w:trHeight w:val="64"/>
      </w:trPr>
      <w:tc>
        <w:tcPr>
          <w:tcW w:w="2943" w:type="dxa"/>
          <w:vAlign w:val="bottom"/>
        </w:tcPr>
        <w:p w14:paraId="22C7784C" w14:textId="77777777" w:rsidR="001A6B27" w:rsidRPr="00EC4367" w:rsidRDefault="001A6B2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95EBF1E" w14:textId="77777777" w:rsidR="001A6B27" w:rsidRPr="00DF254D" w:rsidRDefault="001A6B2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2D6D4FE" w14:textId="77777777" w:rsidR="001A6B27" w:rsidRPr="00EC4367" w:rsidRDefault="001A6B2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1A6B27" w14:paraId="361AA273" w14:textId="77777777" w:rsidTr="009A495A">
      <w:trPr>
        <w:trHeight w:val="64"/>
      </w:trPr>
      <w:tc>
        <w:tcPr>
          <w:tcW w:w="2943" w:type="dxa"/>
          <w:vAlign w:val="bottom"/>
        </w:tcPr>
        <w:p w14:paraId="26BCE26C" w14:textId="77777777" w:rsidR="001A6B27" w:rsidRPr="00EC4367" w:rsidRDefault="001A6B2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374722A0" w14:textId="77777777" w:rsidR="001A6B27" w:rsidRPr="008E15E1" w:rsidRDefault="001A6B2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F08225A" w14:textId="77777777" w:rsidR="001A6B27" w:rsidRPr="00EC4367" w:rsidRDefault="001A6B2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032FA590" w14:textId="77777777" w:rsidR="001A6B27" w:rsidRDefault="001A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DBCEE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01DBCEF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BC4FCA" w:rsidRPr="00645D79" w14:paraId="58101E3D" w14:textId="77777777" w:rsidTr="00135D38">
      <w:trPr>
        <w:trHeight w:val="701"/>
      </w:trPr>
      <w:tc>
        <w:tcPr>
          <w:tcW w:w="3071" w:type="dxa"/>
        </w:tcPr>
        <w:p w14:paraId="43F10A6B" w14:textId="77777777" w:rsidR="00BC4FCA" w:rsidRPr="005A12D2" w:rsidRDefault="00BC4FCA" w:rsidP="00135D38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D64F1DC" wp14:editId="249F6DC0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1298769" w14:textId="76CF2E2D" w:rsidR="00BC4FCA" w:rsidRPr="008D305E" w:rsidRDefault="00BC4FCA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BC4FCA">
            <w:rPr>
              <w:rFonts w:ascii="Arial" w:hAnsi="Arial" w:cs="Arial"/>
              <w:sz w:val="14"/>
              <w:szCs w:val="14"/>
              <w:lang w:val="fr-FR"/>
            </w:rPr>
            <w:t>Obsolescence Notice Report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</w:tc>
      <w:tc>
        <w:tcPr>
          <w:tcW w:w="3214" w:type="dxa"/>
        </w:tcPr>
        <w:p w14:paraId="013C8723" w14:textId="4B3AE963" w:rsidR="00BC4FCA" w:rsidRPr="00645D79" w:rsidRDefault="00BC4FCA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FC1771">
            <w:rPr>
              <w:rFonts w:ascii="Arial" w:hAnsi="Arial" w:cs="Arial"/>
              <w:sz w:val="14"/>
              <w:szCs w:val="14"/>
              <w:lang w:val="fr-FR"/>
            </w:rPr>
            <w:t>177</w:t>
          </w:r>
        </w:p>
        <w:p w14:paraId="0A1901D7" w14:textId="77777777" w:rsidR="00BC4FCA" w:rsidRPr="00645D79" w:rsidRDefault="00BC4FCA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C684A74" w14:textId="77777777" w:rsidR="00BC4FCA" w:rsidRPr="00645D79" w:rsidRDefault="00BC4FCA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7FD3612" w14:textId="77777777" w:rsidR="00BC4FCA" w:rsidRPr="00645D79" w:rsidRDefault="00BC4FCA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01DBCF7" w14:textId="77777777" w:rsidR="0054497D" w:rsidRPr="00A76278" w:rsidRDefault="0054497D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123F40"/>
    <w:multiLevelType w:val="hybridMultilevel"/>
    <w:tmpl w:val="431E3904"/>
    <w:lvl w:ilvl="0" w:tplc="C27A5B9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5449345E"/>
    <w:multiLevelType w:val="hybridMultilevel"/>
    <w:tmpl w:val="6E728148"/>
    <w:lvl w:ilvl="0" w:tplc="10090019">
      <w:start w:val="1"/>
      <w:numFmt w:val="lowerLetter"/>
      <w:lvlText w:val="%1."/>
      <w:lvlJc w:val="left"/>
      <w:pPr>
        <w:ind w:left="2259" w:hanging="360"/>
      </w:pPr>
    </w:lvl>
    <w:lvl w:ilvl="1" w:tplc="10090019">
      <w:start w:val="1"/>
      <w:numFmt w:val="lowerLetter"/>
      <w:lvlText w:val="%2."/>
      <w:lvlJc w:val="left"/>
      <w:pPr>
        <w:ind w:left="2979" w:hanging="360"/>
      </w:pPr>
    </w:lvl>
    <w:lvl w:ilvl="2" w:tplc="1009001B">
      <w:start w:val="1"/>
      <w:numFmt w:val="lowerRoman"/>
      <w:lvlText w:val="%3."/>
      <w:lvlJc w:val="right"/>
      <w:pPr>
        <w:ind w:left="3699" w:hanging="180"/>
      </w:pPr>
    </w:lvl>
    <w:lvl w:ilvl="3" w:tplc="1009000F" w:tentative="1">
      <w:start w:val="1"/>
      <w:numFmt w:val="decimal"/>
      <w:lvlText w:val="%4."/>
      <w:lvlJc w:val="left"/>
      <w:pPr>
        <w:ind w:left="4419" w:hanging="360"/>
      </w:pPr>
    </w:lvl>
    <w:lvl w:ilvl="4" w:tplc="10090019" w:tentative="1">
      <w:start w:val="1"/>
      <w:numFmt w:val="lowerLetter"/>
      <w:lvlText w:val="%5."/>
      <w:lvlJc w:val="left"/>
      <w:pPr>
        <w:ind w:left="5139" w:hanging="360"/>
      </w:pPr>
    </w:lvl>
    <w:lvl w:ilvl="5" w:tplc="1009001B" w:tentative="1">
      <w:start w:val="1"/>
      <w:numFmt w:val="lowerRoman"/>
      <w:lvlText w:val="%6."/>
      <w:lvlJc w:val="right"/>
      <w:pPr>
        <w:ind w:left="5859" w:hanging="180"/>
      </w:pPr>
    </w:lvl>
    <w:lvl w:ilvl="6" w:tplc="1009000F" w:tentative="1">
      <w:start w:val="1"/>
      <w:numFmt w:val="decimal"/>
      <w:lvlText w:val="%7."/>
      <w:lvlJc w:val="left"/>
      <w:pPr>
        <w:ind w:left="6579" w:hanging="360"/>
      </w:pPr>
    </w:lvl>
    <w:lvl w:ilvl="7" w:tplc="10090019" w:tentative="1">
      <w:start w:val="1"/>
      <w:numFmt w:val="lowerLetter"/>
      <w:lvlText w:val="%8."/>
      <w:lvlJc w:val="left"/>
      <w:pPr>
        <w:ind w:left="7299" w:hanging="360"/>
      </w:pPr>
    </w:lvl>
    <w:lvl w:ilvl="8" w:tplc="10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7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539" w:hanging="360"/>
      </w:pPr>
    </w:lvl>
    <w:lvl w:ilvl="1" w:tplc="10090019">
      <w:start w:val="1"/>
      <w:numFmt w:val="lowerLetter"/>
      <w:lvlText w:val="%2."/>
      <w:lvlJc w:val="left"/>
      <w:pPr>
        <w:ind w:left="2259" w:hanging="360"/>
      </w:pPr>
    </w:lvl>
    <w:lvl w:ilvl="2" w:tplc="1009001B" w:tentative="1">
      <w:start w:val="1"/>
      <w:numFmt w:val="lowerRoman"/>
      <w:lvlText w:val="%3."/>
      <w:lvlJc w:val="right"/>
      <w:pPr>
        <w:ind w:left="2979" w:hanging="180"/>
      </w:pPr>
    </w:lvl>
    <w:lvl w:ilvl="3" w:tplc="1009000F" w:tentative="1">
      <w:start w:val="1"/>
      <w:numFmt w:val="decimal"/>
      <w:lvlText w:val="%4."/>
      <w:lvlJc w:val="left"/>
      <w:pPr>
        <w:ind w:left="3699" w:hanging="360"/>
      </w:pPr>
    </w:lvl>
    <w:lvl w:ilvl="4" w:tplc="10090019" w:tentative="1">
      <w:start w:val="1"/>
      <w:numFmt w:val="lowerLetter"/>
      <w:lvlText w:val="%5."/>
      <w:lvlJc w:val="left"/>
      <w:pPr>
        <w:ind w:left="4419" w:hanging="360"/>
      </w:pPr>
    </w:lvl>
    <w:lvl w:ilvl="5" w:tplc="1009001B" w:tentative="1">
      <w:start w:val="1"/>
      <w:numFmt w:val="lowerRoman"/>
      <w:lvlText w:val="%6."/>
      <w:lvlJc w:val="right"/>
      <w:pPr>
        <w:ind w:left="5139" w:hanging="180"/>
      </w:pPr>
    </w:lvl>
    <w:lvl w:ilvl="6" w:tplc="1009000F" w:tentative="1">
      <w:start w:val="1"/>
      <w:numFmt w:val="decimal"/>
      <w:lvlText w:val="%7."/>
      <w:lvlJc w:val="left"/>
      <w:pPr>
        <w:ind w:left="5859" w:hanging="360"/>
      </w:pPr>
    </w:lvl>
    <w:lvl w:ilvl="7" w:tplc="10090019" w:tentative="1">
      <w:start w:val="1"/>
      <w:numFmt w:val="lowerLetter"/>
      <w:lvlText w:val="%8."/>
      <w:lvlJc w:val="left"/>
      <w:pPr>
        <w:ind w:left="6579" w:hanging="360"/>
      </w:pPr>
    </w:lvl>
    <w:lvl w:ilvl="8" w:tplc="10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92D1C"/>
    <w:rsid w:val="000A6EE3"/>
    <w:rsid w:val="000B5C94"/>
    <w:rsid w:val="000B7196"/>
    <w:rsid w:val="000B7607"/>
    <w:rsid w:val="000C02D6"/>
    <w:rsid w:val="000C26CE"/>
    <w:rsid w:val="000C343C"/>
    <w:rsid w:val="000E13E5"/>
    <w:rsid w:val="000E2186"/>
    <w:rsid w:val="000F2FD3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7341B"/>
    <w:rsid w:val="00185136"/>
    <w:rsid w:val="001A6B27"/>
    <w:rsid w:val="001B67D4"/>
    <w:rsid w:val="001C1EE2"/>
    <w:rsid w:val="001C260C"/>
    <w:rsid w:val="001D128D"/>
    <w:rsid w:val="001E1F49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870F3"/>
    <w:rsid w:val="0029119C"/>
    <w:rsid w:val="002A2E5E"/>
    <w:rsid w:val="002A4D78"/>
    <w:rsid w:val="002B6C2A"/>
    <w:rsid w:val="002D00EC"/>
    <w:rsid w:val="002E0B33"/>
    <w:rsid w:val="002E2AB5"/>
    <w:rsid w:val="002E7610"/>
    <w:rsid w:val="002F71A0"/>
    <w:rsid w:val="00302803"/>
    <w:rsid w:val="00322A75"/>
    <w:rsid w:val="0035382F"/>
    <w:rsid w:val="0035609D"/>
    <w:rsid w:val="003631A9"/>
    <w:rsid w:val="00380010"/>
    <w:rsid w:val="00382231"/>
    <w:rsid w:val="003851BF"/>
    <w:rsid w:val="00394158"/>
    <w:rsid w:val="00396733"/>
    <w:rsid w:val="003A55E7"/>
    <w:rsid w:val="003B36D8"/>
    <w:rsid w:val="003E4CFB"/>
    <w:rsid w:val="00400CED"/>
    <w:rsid w:val="00403C2C"/>
    <w:rsid w:val="00407AF8"/>
    <w:rsid w:val="00416AEF"/>
    <w:rsid w:val="00430E9A"/>
    <w:rsid w:val="004314C0"/>
    <w:rsid w:val="00431A7D"/>
    <w:rsid w:val="004368C1"/>
    <w:rsid w:val="004379D9"/>
    <w:rsid w:val="00443C52"/>
    <w:rsid w:val="00452440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8A"/>
    <w:rsid w:val="004D24B5"/>
    <w:rsid w:val="004E1488"/>
    <w:rsid w:val="004E36F9"/>
    <w:rsid w:val="004E37F3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2D3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35CEC"/>
    <w:rsid w:val="006415A8"/>
    <w:rsid w:val="0066152F"/>
    <w:rsid w:val="00670C62"/>
    <w:rsid w:val="00682FEF"/>
    <w:rsid w:val="00694308"/>
    <w:rsid w:val="006A01D9"/>
    <w:rsid w:val="006A6B66"/>
    <w:rsid w:val="006B3D22"/>
    <w:rsid w:val="006D169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911148"/>
    <w:rsid w:val="00911C4C"/>
    <w:rsid w:val="00916EF1"/>
    <w:rsid w:val="00926D26"/>
    <w:rsid w:val="009275C9"/>
    <w:rsid w:val="0094003C"/>
    <w:rsid w:val="0095032B"/>
    <w:rsid w:val="00961355"/>
    <w:rsid w:val="00967602"/>
    <w:rsid w:val="00973B6F"/>
    <w:rsid w:val="00974D8D"/>
    <w:rsid w:val="009B4100"/>
    <w:rsid w:val="009C3C10"/>
    <w:rsid w:val="009D40F3"/>
    <w:rsid w:val="009D70BF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072"/>
    <w:rsid w:val="00A57D0F"/>
    <w:rsid w:val="00A76278"/>
    <w:rsid w:val="00A8312B"/>
    <w:rsid w:val="00A86CCA"/>
    <w:rsid w:val="00A917D1"/>
    <w:rsid w:val="00A91E59"/>
    <w:rsid w:val="00AA0A9E"/>
    <w:rsid w:val="00AB2838"/>
    <w:rsid w:val="00AD2551"/>
    <w:rsid w:val="00AE21B8"/>
    <w:rsid w:val="00AE3D19"/>
    <w:rsid w:val="00B15829"/>
    <w:rsid w:val="00B15C84"/>
    <w:rsid w:val="00B203FE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C4FCA"/>
    <w:rsid w:val="00BD19CE"/>
    <w:rsid w:val="00BD3410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7219"/>
    <w:rsid w:val="00CD7D98"/>
    <w:rsid w:val="00CE1F7C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E711A"/>
    <w:rsid w:val="00DF7722"/>
    <w:rsid w:val="00E10EE8"/>
    <w:rsid w:val="00E25C8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5496"/>
    <w:rsid w:val="00ED1688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1771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1DB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627C-0CBA-4D78-87C2-1CF3C7364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1BEA3-A927-49A1-9F0E-B5605D16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66739-9450-4152-87F7-12BBD32E40B5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4468D7-D0B4-4AA4-A5D4-FACFF4CB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6</cp:revision>
  <cp:lastPrinted>2016-06-11T18:53:00Z</cp:lastPrinted>
  <dcterms:created xsi:type="dcterms:W3CDTF">2018-01-30T21:03:00Z</dcterms:created>
  <dcterms:modified xsi:type="dcterms:W3CDTF">2018-06-05T23:08:00Z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