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CE28" w14:textId="77777777" w:rsidR="00AE79F4" w:rsidRDefault="00AE79F4" w:rsidP="00A52634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5737CE29" w14:textId="77777777" w:rsidR="00207728" w:rsidRPr="008C4D90" w:rsidRDefault="00207728" w:rsidP="00A52634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737CE2A" w14:textId="77777777" w:rsidR="00207728" w:rsidRPr="008C4D90" w:rsidRDefault="00C9355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Risk Management Plan</w:t>
      </w:r>
    </w:p>
    <w:p w14:paraId="5737CE2B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C93553">
        <w:rPr>
          <w:rFonts w:ascii="Arial" w:eastAsia="Times New Roman" w:hAnsi="Arial" w:cs="Arial"/>
          <w:b/>
          <w:sz w:val="44"/>
          <w:szCs w:val="24"/>
        </w:rPr>
        <w:t>257</w:t>
      </w:r>
    </w:p>
    <w:p w14:paraId="5737CE2C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5737CE2D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5737CE2E" w14:textId="77777777" w:rsidR="00AE79F4" w:rsidRDefault="00AE79F4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737CE2F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5737CE30" w14:textId="6A0389C9" w:rsidR="00207728" w:rsidRPr="008C4D90" w:rsidRDefault="005F7A51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5737CE3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5737CE3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5737CE33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5737CE34" w14:textId="3D1621CC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A52634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C21C19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5737CE35" w14:textId="77777777" w:rsidR="00DE0244" w:rsidRDefault="00DE0244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</w:p>
    <w:p w14:paraId="5737CE36" w14:textId="77777777" w:rsidR="00A52634" w:rsidRDefault="00A5263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5737CE39" w14:textId="77777777" w:rsidTr="004F34C4">
        <w:tc>
          <w:tcPr>
            <w:tcW w:w="4788" w:type="dxa"/>
          </w:tcPr>
          <w:p w14:paraId="5737CE37" w14:textId="77777777" w:rsidR="00DE0244" w:rsidRPr="008C4D90" w:rsidRDefault="00C93553" w:rsidP="002D6B02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Risk Management Plan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788" w:type="dxa"/>
          </w:tcPr>
          <w:p w14:paraId="5737CE38" w14:textId="77777777" w:rsidR="00DE0244" w:rsidRPr="008C4D90" w:rsidRDefault="002D6B02" w:rsidP="00C93553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25</w:t>
            </w:r>
            <w:r w:rsidR="00C9355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7</w:t>
            </w:r>
          </w:p>
        </w:tc>
      </w:tr>
    </w:tbl>
    <w:p w14:paraId="5737CE3A" w14:textId="77777777" w:rsidR="00DE0244" w:rsidRPr="008C4D90" w:rsidRDefault="00DE0244" w:rsidP="00DE0244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5737CE3B" w14:textId="77777777" w:rsidR="00C93553" w:rsidRPr="00AA0FA7" w:rsidRDefault="00C93553" w:rsidP="00C93553">
      <w:pPr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Risk Management Plan (</w:t>
      </w:r>
      <w:r w:rsidRPr="00AA0FA7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RMP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) defines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's procedures for identifying, capturing, analysing, assessing, prioritising, monitoring and revie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wing P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roject risks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and opportunities 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and details the responses required to handle those risks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and utilise opportunities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 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RMP also defines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Supplier’s processes towards contribution to and maintaining its risks and opportunities on the IPT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Risk Register and procedures for using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IPT 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Risk Register to capture the dynamic elements of the risk management process.</w:t>
      </w:r>
    </w:p>
    <w:p w14:paraId="5737CE3C" w14:textId="77777777" w:rsidR="00C93553" w:rsidRPr="00AA0FA7" w:rsidRDefault="00C93553" w:rsidP="00C93553">
      <w:pPr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uses the RMP to define the organisational elements and procedures that it will apply to the management of risk throughout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period of performance.</w:t>
      </w:r>
    </w:p>
    <w:p w14:paraId="5737CE3D" w14:textId="77777777" w:rsidR="00C93553" w:rsidRDefault="00C93553" w:rsidP="00C93553">
      <w:pPr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Purchaser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uses the RMP to assist with monitoring the performance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Supplier.</w:t>
      </w:r>
    </w:p>
    <w:p w14:paraId="5737CE3E" w14:textId="77777777" w:rsidR="00C93553" w:rsidRPr="002512D9" w:rsidRDefault="00C93553" w:rsidP="00C9355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5737CE3F" w14:textId="77777777" w:rsidR="00C93553" w:rsidRPr="002512D9" w:rsidRDefault="00C93553" w:rsidP="00C9355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5737CE40" w14:textId="77777777" w:rsidR="00C93553" w:rsidRPr="002512D9" w:rsidRDefault="00C93553" w:rsidP="00C9355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5737CE41" w14:textId="77777777" w:rsidR="00C93553" w:rsidRPr="00CB03EE" w:rsidRDefault="00C93553" w:rsidP="00C9355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5737CE42" w14:textId="77777777" w:rsidR="00C93553" w:rsidRPr="002512D9" w:rsidRDefault="00C93553" w:rsidP="00C9355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5737CE43" w14:textId="77777777" w:rsidR="00C93553" w:rsidRPr="00AA0FA7" w:rsidRDefault="00C93553" w:rsidP="00C93553">
      <w:pPr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RMP shall include:</w:t>
      </w:r>
    </w:p>
    <w:p w14:paraId="5737CE44" w14:textId="77777777" w:rsidR="00C93553" w:rsidRPr="00AA0FA7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risk-management organisation to be applied to the Project, including clear definitions of responsibilities for the Project Management, the Engineering, the ILS and the IRB aspects of risk management;</w:t>
      </w:r>
    </w:p>
    <w:p w14:paraId="5737CE45" w14:textId="77777777" w:rsidR="00C93553" w:rsidRPr="00F01309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procedures for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identifying and capturing risks (</w:t>
      </w:r>
      <w:r w:rsidRPr="00F01309">
        <w:rPr>
          <w:rFonts w:ascii="Arial" w:eastAsia="Times New Roman" w:hAnsi="Arial" w:cs="Arial"/>
          <w:b/>
          <w:sz w:val="16"/>
          <w:szCs w:val="16"/>
          <w:lang w:val="en-AU" w:eastAsia="en-AU"/>
        </w:rPr>
        <w:t>Note</w:t>
      </w:r>
      <w:r w:rsidRPr="00F01309">
        <w:rPr>
          <w:rFonts w:ascii="Arial" w:eastAsia="Times New Roman" w:hAnsi="Arial" w:cs="Arial"/>
          <w:sz w:val="16"/>
          <w:szCs w:val="16"/>
          <w:lang w:val="en-AU" w:eastAsia="en-AU"/>
        </w:rPr>
        <w:t>: A rigorous risk-identification process is considered by the Purchaser to be essential to the management of risk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);</w:t>
      </w:r>
    </w:p>
    <w:p w14:paraId="5737CE46" w14:textId="77777777" w:rsidR="00C93553" w:rsidRPr="00AA0FA7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procedures for analysing risks;</w:t>
      </w:r>
    </w:p>
    <w:p w14:paraId="5737CE47" w14:textId="77777777" w:rsidR="00C93553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procedures for assessing and evaluating risks;</w:t>
      </w:r>
    </w:p>
    <w:p w14:paraId="5737CE48" w14:textId="77777777" w:rsidR="00C93553" w:rsidRPr="00AA0FA7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establishing a risk reserve ($)</w:t>
      </w:r>
    </w:p>
    <w:p w14:paraId="5737CE49" w14:textId="77777777" w:rsidR="00C93553" w:rsidRPr="00AA0FA7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procedures for treating risks, including:</w:t>
      </w:r>
    </w:p>
    <w:p w14:paraId="5737CE4A" w14:textId="77777777" w:rsidR="00C93553" w:rsidRPr="005F7A51" w:rsidRDefault="00C93553" w:rsidP="009A2AF9">
      <w:pPr>
        <w:pStyle w:val="ListParagraph"/>
        <w:numPr>
          <w:ilvl w:val="0"/>
          <w:numId w:val="19"/>
        </w:numPr>
        <w:spacing w:after="120" w:line="240" w:lineRule="atLeast"/>
        <w:ind w:left="1418" w:hanging="284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avoiding the risk;</w:t>
      </w:r>
    </w:p>
    <w:p w14:paraId="5737CE4B" w14:textId="77777777" w:rsidR="00C93553" w:rsidRPr="005F7A51" w:rsidRDefault="00C93553" w:rsidP="005F7A51">
      <w:pPr>
        <w:pStyle w:val="ListParagraph"/>
        <w:numPr>
          <w:ilvl w:val="0"/>
          <w:numId w:val="19"/>
        </w:numPr>
        <w:spacing w:after="120" w:line="240" w:lineRule="atLeast"/>
        <w:ind w:left="1418" w:hanging="28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reducing the likelihood of the risk;</w:t>
      </w:r>
    </w:p>
    <w:p w14:paraId="5737CE4C" w14:textId="77777777" w:rsidR="00C93553" w:rsidRPr="005F7A51" w:rsidRDefault="00C93553" w:rsidP="005F7A51">
      <w:pPr>
        <w:pStyle w:val="ListParagraph"/>
        <w:numPr>
          <w:ilvl w:val="0"/>
          <w:numId w:val="19"/>
        </w:numPr>
        <w:spacing w:after="120" w:line="240" w:lineRule="atLeast"/>
        <w:ind w:left="1418" w:hanging="28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reducing the consequence of the risk;</w:t>
      </w:r>
    </w:p>
    <w:p w14:paraId="5737CE4D" w14:textId="77777777" w:rsidR="00C93553" w:rsidRPr="005F7A51" w:rsidRDefault="00C93553" w:rsidP="005F7A51">
      <w:pPr>
        <w:pStyle w:val="ListParagraph"/>
        <w:numPr>
          <w:ilvl w:val="0"/>
          <w:numId w:val="19"/>
        </w:numPr>
        <w:spacing w:after="120" w:line="240" w:lineRule="atLeast"/>
        <w:ind w:left="1418" w:hanging="28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transferring the risk; and</w:t>
      </w:r>
    </w:p>
    <w:p w14:paraId="5737CE4E" w14:textId="77777777" w:rsidR="00C93553" w:rsidRPr="005F7A51" w:rsidRDefault="00C93553" w:rsidP="005F7A51">
      <w:pPr>
        <w:pStyle w:val="ListParagraph"/>
        <w:numPr>
          <w:ilvl w:val="0"/>
          <w:numId w:val="19"/>
        </w:numPr>
        <w:spacing w:after="120" w:line="240" w:lineRule="atLeast"/>
        <w:ind w:left="1418" w:hanging="28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retaining the risk;</w:t>
      </w:r>
    </w:p>
    <w:p w14:paraId="4C83B355" w14:textId="77777777" w:rsidR="005F7A51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procedures for reporting risks</w:t>
      </w:r>
    </w:p>
    <w:p w14:paraId="5737CE4F" w14:textId="6F2A8A66" w:rsidR="00C93553" w:rsidRPr="005F7A51" w:rsidRDefault="00C93553" w:rsidP="005F7A51">
      <w:pPr>
        <w:spacing w:after="120" w:line="240" w:lineRule="atLeast"/>
        <w:ind w:left="981" w:firstLine="153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(</w:t>
      </w:r>
      <w:proofErr w:type="gramStart"/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>note</w:t>
      </w:r>
      <w:proofErr w:type="gramEnd"/>
      <w:r w:rsidRPr="005F7A51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that the Supplier is to contribute towards a IPT Risk Register and IPT risk management meeting);</w:t>
      </w:r>
    </w:p>
    <w:p w14:paraId="5737CE50" w14:textId="77777777" w:rsidR="00C93553" w:rsidRPr="00AA0FA7" w:rsidRDefault="00C93553" w:rsidP="00C93553">
      <w:pPr>
        <w:pStyle w:val="ListParagraph"/>
        <w:numPr>
          <w:ilvl w:val="0"/>
          <w:numId w:val="17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procedures for monitoring and reviewing risks; and</w:t>
      </w:r>
    </w:p>
    <w:p w14:paraId="5737CE51" w14:textId="77777777" w:rsidR="00DE0244" w:rsidRPr="00C93553" w:rsidRDefault="00C93553" w:rsidP="00C93553">
      <w:pPr>
        <w:pStyle w:val="ListParagraph"/>
        <w:numPr>
          <w:ilvl w:val="0"/>
          <w:numId w:val="1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processes for integrating the risk-management activities into project planning and control (e.g. EVM, etc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).</w:t>
      </w:r>
    </w:p>
    <w:sectPr w:rsidR="00DE0244" w:rsidRPr="00C93553" w:rsidSect="00C21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7CE54" w14:textId="77777777" w:rsidR="00A16F52" w:rsidRDefault="00A16F52" w:rsidP="0095032B">
      <w:pPr>
        <w:spacing w:after="0" w:line="240" w:lineRule="auto"/>
      </w:pPr>
      <w:r>
        <w:separator/>
      </w:r>
    </w:p>
  </w:endnote>
  <w:endnote w:type="continuationSeparator" w:id="0">
    <w:p w14:paraId="5737CE55" w14:textId="77777777" w:rsidR="00A16F52" w:rsidRDefault="00A16F52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1B38" w14:textId="77777777" w:rsidR="00C06967" w:rsidRDefault="00C06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C21C19" w:rsidRPr="00C06967" w14:paraId="4681840B" w14:textId="77777777" w:rsidTr="004E7A99">
      <w:trPr>
        <w:trHeight w:val="276"/>
      </w:trPr>
      <w:tc>
        <w:tcPr>
          <w:tcW w:w="2943" w:type="dxa"/>
        </w:tcPr>
        <w:p w14:paraId="11A26D2D" w14:textId="77777777" w:rsidR="00C21C19" w:rsidRPr="00DF254D" w:rsidRDefault="00C21C19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F4308BA" w14:textId="77777777" w:rsidR="00C21C19" w:rsidRPr="00DF254D" w:rsidRDefault="00C21C19" w:rsidP="004E7A9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  <w:p w14:paraId="69B295F1" w14:textId="77777777" w:rsidR="00C21C19" w:rsidRPr="00DF254D" w:rsidRDefault="00C21C19" w:rsidP="004E7A9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501007693"/>
            <w:docPartObj>
              <w:docPartGallery w:val="Page Numbers (Top of Page)"/>
              <w:docPartUnique/>
            </w:docPartObj>
          </w:sdtPr>
          <w:sdtEndPr/>
          <w:sdtContent>
            <w:p w14:paraId="032F3E9B" w14:textId="77777777" w:rsidR="00C21C19" w:rsidRPr="00C06967" w:rsidRDefault="00C21C19" w:rsidP="005A060A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2701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2701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C0696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C21C19" w:rsidRPr="00DF254D" w14:paraId="5804202C" w14:textId="77777777" w:rsidTr="005A060A">
      <w:trPr>
        <w:trHeight w:val="64"/>
      </w:trPr>
      <w:tc>
        <w:tcPr>
          <w:tcW w:w="2943" w:type="dxa"/>
          <w:vAlign w:val="bottom"/>
        </w:tcPr>
        <w:p w14:paraId="71B37BA1" w14:textId="77777777" w:rsidR="00C21C19" w:rsidRPr="00DF254D" w:rsidRDefault="00C21C19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center"/>
        </w:tcPr>
        <w:p w14:paraId="0D9AB3F8" w14:textId="77777777" w:rsidR="00C21C19" w:rsidRPr="00DF254D" w:rsidRDefault="00C21C19" w:rsidP="005A060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02F6FAE7" w14:textId="77777777" w:rsidR="00C21C19" w:rsidRPr="00DF254D" w:rsidRDefault="00C21C19" w:rsidP="005A060A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</w:tbl>
  <w:p w14:paraId="4A509CF6" w14:textId="77777777" w:rsidR="00C21C19" w:rsidRPr="00C21C19" w:rsidRDefault="00C21C19" w:rsidP="00C21C1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85F9D" w14:paraId="5737CE7E" w14:textId="77777777" w:rsidTr="0093161F">
      <w:tc>
        <w:tcPr>
          <w:tcW w:w="3192" w:type="dxa"/>
        </w:tcPr>
        <w:p w14:paraId="5737CE7B" w14:textId="77777777" w:rsidR="00E85F9D" w:rsidRPr="00EC4367" w:rsidRDefault="00E85F9D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5737CE7C" w14:textId="77777777" w:rsidR="00E85F9D" w:rsidRPr="00EC4367" w:rsidRDefault="00E85F9D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19046923"/>
            <w:docPartObj>
              <w:docPartGallery w:val="Page Numbers (Top of Page)"/>
              <w:docPartUnique/>
            </w:docPartObj>
          </w:sdtPr>
          <w:sdtEndPr/>
          <w:sdtContent>
            <w:p w14:paraId="5737CE7D" w14:textId="77777777" w:rsidR="00E85F9D" w:rsidRPr="002F7EC1" w:rsidRDefault="00E85F9D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C21C19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C21C19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E85F9D" w14:paraId="5737CE82" w14:textId="77777777" w:rsidTr="0093161F">
      <w:tc>
        <w:tcPr>
          <w:tcW w:w="3192" w:type="dxa"/>
        </w:tcPr>
        <w:p w14:paraId="5737CE7F" w14:textId="77777777" w:rsidR="00E85F9D" w:rsidRPr="005F7A51" w:rsidRDefault="00E85F9D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5F7A5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5737CE80" w14:textId="77777777" w:rsidR="00E85F9D" w:rsidRPr="005F7A51" w:rsidRDefault="00E85F9D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5F7A51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5737CE81" w14:textId="77777777" w:rsidR="00E85F9D" w:rsidRPr="005F7A51" w:rsidRDefault="00E85F9D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5F7A5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E85F9D" w14:paraId="5737CE86" w14:textId="77777777" w:rsidTr="0093161F">
      <w:trPr>
        <w:trHeight w:val="64"/>
      </w:trPr>
      <w:tc>
        <w:tcPr>
          <w:tcW w:w="3192" w:type="dxa"/>
        </w:tcPr>
        <w:p w14:paraId="5737CE83" w14:textId="77777777" w:rsidR="00E85F9D" w:rsidRPr="00EC4367" w:rsidRDefault="00E85F9D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5737CE84" w14:textId="77777777" w:rsidR="00E85F9D" w:rsidRPr="00EC4367" w:rsidRDefault="00E85F9D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5737CE85" w14:textId="77777777" w:rsidR="00E85F9D" w:rsidRPr="00EC4367" w:rsidRDefault="00E85F9D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5737CE87" w14:textId="77777777" w:rsidR="000B4B4C" w:rsidRDefault="000B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CE52" w14:textId="77777777" w:rsidR="00A16F52" w:rsidRDefault="00A16F52" w:rsidP="0095032B">
      <w:pPr>
        <w:spacing w:after="0" w:line="240" w:lineRule="auto"/>
      </w:pPr>
      <w:r>
        <w:separator/>
      </w:r>
    </w:p>
  </w:footnote>
  <w:footnote w:type="continuationSeparator" w:id="0">
    <w:p w14:paraId="5737CE53" w14:textId="77777777" w:rsidR="00A16F52" w:rsidRDefault="00A16F52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653E" w14:textId="77777777" w:rsidR="00C06967" w:rsidRDefault="00C06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21C19" w:rsidRPr="00645D79" w14:paraId="78264A37" w14:textId="77777777" w:rsidTr="005A060A">
      <w:trPr>
        <w:trHeight w:val="701"/>
      </w:trPr>
      <w:tc>
        <w:tcPr>
          <w:tcW w:w="3071" w:type="dxa"/>
        </w:tcPr>
        <w:p w14:paraId="26BFC579" w14:textId="77777777" w:rsidR="00C21C19" w:rsidRPr="005A12D2" w:rsidRDefault="00C21C19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FFA1E4F" wp14:editId="69699FFA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607787E" w14:textId="7FED670E" w:rsidR="00C21C19" w:rsidRPr="008D305E" w:rsidRDefault="00C21C1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C21C19">
            <w:rPr>
              <w:rFonts w:ascii="Arial" w:hAnsi="Arial" w:cs="Arial"/>
              <w:sz w:val="14"/>
              <w:szCs w:val="14"/>
              <w:lang w:val="fr-FR"/>
            </w:rPr>
            <w:t>Risk</w:t>
          </w:r>
          <w:proofErr w:type="spellEnd"/>
          <w:r w:rsidRPr="00C21C19">
            <w:rPr>
              <w:rFonts w:ascii="Arial" w:hAnsi="Arial" w:cs="Arial"/>
              <w:sz w:val="14"/>
              <w:szCs w:val="14"/>
              <w:lang w:val="fr-FR"/>
            </w:rPr>
            <w:t xml:space="preserve"> Management Plan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</w:tc>
      <w:tc>
        <w:tcPr>
          <w:tcW w:w="3214" w:type="dxa"/>
        </w:tcPr>
        <w:p w14:paraId="07A642D5" w14:textId="6BA3361C" w:rsidR="00C21C19" w:rsidRPr="00645D79" w:rsidRDefault="00C21C1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C06967" w:rsidRPr="00C06967">
            <w:rPr>
              <w:rFonts w:ascii="Arial" w:hAnsi="Arial" w:cs="Arial"/>
              <w:sz w:val="14"/>
              <w:szCs w:val="14"/>
              <w:lang w:val="fr-FR"/>
            </w:rPr>
            <w:t>VSY-A08.22-0044</w:t>
          </w:r>
        </w:p>
        <w:p w14:paraId="105E9CAE" w14:textId="77777777" w:rsidR="00C21C19" w:rsidRPr="00645D79" w:rsidRDefault="00C21C1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18AD74A3" w14:textId="77777777" w:rsidR="00C21C19" w:rsidRPr="00645D79" w:rsidRDefault="00C21C1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160583F" w14:textId="77777777" w:rsidR="00C21C19" w:rsidRPr="00645D79" w:rsidRDefault="00C21C19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4CABF8B" w14:textId="77777777" w:rsidR="00C21C19" w:rsidRPr="00C21C19" w:rsidRDefault="00C21C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E85F9D" w:rsidRPr="00D15F8B" w14:paraId="5737CE79" w14:textId="77777777" w:rsidTr="0093161F">
      <w:trPr>
        <w:trHeight w:val="813"/>
      </w:trPr>
      <w:tc>
        <w:tcPr>
          <w:tcW w:w="2600" w:type="dxa"/>
        </w:tcPr>
        <w:p w14:paraId="5737CE70" w14:textId="77777777" w:rsidR="00E85F9D" w:rsidRPr="006D429A" w:rsidRDefault="00E85F9D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737CE8A" wp14:editId="5737CE8B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5737CE71" w14:textId="77777777" w:rsidR="00E85F9D" w:rsidRPr="00EC18D2" w:rsidRDefault="00E85F9D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5737CE72" w14:textId="77777777" w:rsidR="00E85F9D" w:rsidRPr="00EC18D2" w:rsidRDefault="00E85F9D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EC18D2">
            <w:rPr>
              <w:rFonts w:ascii="Arial" w:hAnsi="Arial" w:cs="Arial"/>
              <w:color w:val="808080"/>
              <w:sz w:val="14"/>
              <w:szCs w:val="14"/>
              <w:lang w:val="en-GB"/>
            </w:rPr>
            <w:t>Risk Management Plan, Rev 0</w:t>
          </w:r>
        </w:p>
        <w:p w14:paraId="5737CE73" w14:textId="77777777" w:rsidR="00E85F9D" w:rsidRPr="00EC18D2" w:rsidRDefault="00E85F9D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5737CE74" w14:textId="77777777" w:rsidR="00E85F9D" w:rsidRPr="00EC18D2" w:rsidRDefault="00E85F9D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5737CE75" w14:textId="77777777" w:rsidR="00E85F9D" w:rsidRPr="00A52634" w:rsidRDefault="00E85F9D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EC18D2">
            <w:rPr>
              <w:rFonts w:ascii="Arial" w:hAnsi="Arial" w:cs="Arial"/>
              <w:sz w:val="12"/>
              <w:szCs w:val="12"/>
              <w:lang w:val="en-GB"/>
            </w:rPr>
            <w:t xml:space="preserve">Document </w:t>
          </w:r>
          <w:r w:rsidRPr="00A52634">
            <w:rPr>
              <w:rFonts w:ascii="Arial" w:hAnsi="Arial" w:cs="Arial"/>
              <w:sz w:val="12"/>
              <w:szCs w:val="12"/>
              <w:lang w:val="en-GB"/>
            </w:rPr>
            <w:t>#:</w:t>
          </w:r>
          <w:r w:rsidR="00A52634" w:rsidRPr="00A52634"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5737CE76" w14:textId="77777777" w:rsidR="00E85F9D" w:rsidRPr="00EC18D2" w:rsidRDefault="00A52634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A52634">
            <w:rPr>
              <w:rFonts w:ascii="Arial" w:hAnsi="Arial" w:cs="Arial"/>
              <w:sz w:val="12"/>
              <w:szCs w:val="12"/>
            </w:rPr>
            <w:t>Agreement</w:t>
          </w:r>
          <w:r w:rsidR="00E85F9D" w:rsidRPr="00A52634">
            <w:rPr>
              <w:rFonts w:ascii="Arial" w:hAnsi="Arial" w:cs="Arial"/>
              <w:sz w:val="12"/>
              <w:szCs w:val="12"/>
            </w:rPr>
            <w:t xml:space="preserve"> #: </w:t>
          </w:r>
          <w:r w:rsidRPr="00A52634">
            <w:rPr>
              <w:rFonts w:ascii="Arial" w:hAnsi="Arial" w:cs="Arial"/>
              <w:sz w:val="12"/>
              <w:szCs w:val="12"/>
            </w:rPr>
            <w:t>N/</w:t>
          </w:r>
          <w:r>
            <w:rPr>
              <w:rFonts w:ascii="Arial" w:hAnsi="Arial" w:cs="Arial"/>
              <w:sz w:val="12"/>
              <w:szCs w:val="12"/>
            </w:rPr>
            <w:t>A</w:t>
          </w:r>
        </w:p>
        <w:p w14:paraId="5737CE77" w14:textId="77777777" w:rsidR="00E85F9D" w:rsidRPr="00EC18D2" w:rsidRDefault="00E85F9D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5737CE78" w14:textId="77777777" w:rsidR="00E85F9D" w:rsidRPr="00EC18D2" w:rsidRDefault="00E85F9D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EC18D2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5737CE7A" w14:textId="77777777" w:rsidR="000B4B4C" w:rsidRPr="00E85F9D" w:rsidRDefault="000B4B4C" w:rsidP="00E85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CC51C1"/>
    <w:multiLevelType w:val="hybridMultilevel"/>
    <w:tmpl w:val="4258884C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5B354A"/>
    <w:multiLevelType w:val="hybridMultilevel"/>
    <w:tmpl w:val="092AF7AC"/>
    <w:lvl w:ilvl="0" w:tplc="1009001B">
      <w:start w:val="1"/>
      <w:numFmt w:val="lowerRoman"/>
      <w:lvlText w:val="%1."/>
      <w:lvlJc w:val="righ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18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17"/>
  </w:num>
  <w:num w:numId="16">
    <w:abstractNumId w:val="11"/>
  </w:num>
  <w:num w:numId="17">
    <w:abstractNumId w:val="7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47715"/>
    <w:rsid w:val="0006454C"/>
    <w:rsid w:val="000714E6"/>
    <w:rsid w:val="0007226B"/>
    <w:rsid w:val="00073F18"/>
    <w:rsid w:val="00092D1C"/>
    <w:rsid w:val="000A6EE3"/>
    <w:rsid w:val="000B4B4C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C2957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2701A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83D6E"/>
    <w:rsid w:val="004967AB"/>
    <w:rsid w:val="004A523F"/>
    <w:rsid w:val="004B6227"/>
    <w:rsid w:val="004C1825"/>
    <w:rsid w:val="004D24B5"/>
    <w:rsid w:val="004E09C1"/>
    <w:rsid w:val="004E1488"/>
    <w:rsid w:val="004E36F9"/>
    <w:rsid w:val="004E7A99"/>
    <w:rsid w:val="004F40E3"/>
    <w:rsid w:val="004F45A7"/>
    <w:rsid w:val="004F5030"/>
    <w:rsid w:val="00501E71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5F7A51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A2AF9"/>
    <w:rsid w:val="009B4100"/>
    <w:rsid w:val="009B5D61"/>
    <w:rsid w:val="009C3C10"/>
    <w:rsid w:val="009D40F3"/>
    <w:rsid w:val="009F124D"/>
    <w:rsid w:val="00A16F52"/>
    <w:rsid w:val="00A30BAD"/>
    <w:rsid w:val="00A37925"/>
    <w:rsid w:val="00A52634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AE79F4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06967"/>
    <w:rsid w:val="00C21C19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3553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35C4"/>
    <w:rsid w:val="00E85F9D"/>
    <w:rsid w:val="00E907E5"/>
    <w:rsid w:val="00E95B9A"/>
    <w:rsid w:val="00E97587"/>
    <w:rsid w:val="00EA3029"/>
    <w:rsid w:val="00EA454A"/>
    <w:rsid w:val="00EA4E9C"/>
    <w:rsid w:val="00EA6E85"/>
    <w:rsid w:val="00EB1195"/>
    <w:rsid w:val="00EC18D2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B68DF"/>
    <w:rsid w:val="00FC4CA9"/>
    <w:rsid w:val="00FF10E3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37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94D3-0983-471C-A7F3-D570C747E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065B0-B1DB-460D-85AB-35CC5A030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0C8C8-9A15-444E-B5F6-D7332532056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6FFE69-4EAF-456B-A800-92F312DB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Knabe</dc:creator>
  <cp:lastModifiedBy>Ian Brennan</cp:lastModifiedBy>
  <cp:revision>18</cp:revision>
  <cp:lastPrinted>2017-04-12T14:51:00Z</cp:lastPrinted>
  <dcterms:created xsi:type="dcterms:W3CDTF">2017-04-12T20:02:00Z</dcterms:created>
  <dcterms:modified xsi:type="dcterms:W3CDTF">2018-06-07T18:35:00Z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