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28" w:rsidRDefault="00207728" w:rsidP="00207728">
      <w:pPr>
        <w:spacing w:after="0" w:line="240" w:lineRule="atLeast"/>
        <w:rPr>
          <w:rFonts w:ascii="Arial" w:hAnsi="Arial" w:cs="Arial"/>
          <w:b/>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9"/>
        <w:gridCol w:w="1560"/>
        <w:gridCol w:w="1559"/>
        <w:gridCol w:w="1560"/>
        <w:gridCol w:w="1560"/>
      </w:tblGrid>
      <w:tr w:rsidR="00207728">
        <w:trPr>
          <w:divId w:val="546915834"/>
          <w:cantSplit/>
          <w:trHeight w:val="238"/>
        </w:trPr>
        <w:tc>
          <w:tcPr>
            <w:tcW w:w="1558"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line="276" w:lineRule="auto"/>
              <w:rPr>
                <w:rFonts w:cs="Arial"/>
                <w:b/>
                <w:bCs/>
                <w:color w:val="auto"/>
                <w:sz w:val="12"/>
                <w:szCs w:val="12"/>
              </w:rPr>
            </w:pPr>
            <w:r>
              <w:rPr>
                <w:rFonts w:cs="Arial"/>
                <w:b/>
                <w:bCs/>
                <w:color w:val="auto"/>
                <w:sz w:val="12"/>
                <w:szCs w:val="12"/>
              </w:rPr>
              <w:t>Document Identifier</w:t>
            </w:r>
          </w:p>
        </w:tc>
        <w:tc>
          <w:tcPr>
            <w:tcW w:w="1559"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line="276" w:lineRule="auto"/>
              <w:jc w:val="right"/>
              <w:rPr>
                <w:rFonts w:cs="Arial"/>
                <w:color w:val="auto"/>
                <w:sz w:val="12"/>
                <w:szCs w:val="12"/>
              </w:rPr>
            </w:pPr>
            <w:r>
              <w:rPr>
                <w:rFonts w:cs="Arial"/>
                <w:b/>
                <w:bCs/>
                <w:color w:val="auto"/>
                <w:sz w:val="12"/>
                <w:szCs w:val="12"/>
              </w:rPr>
              <w:t>Number:</w:t>
            </w:r>
          </w:p>
        </w:tc>
        <w:tc>
          <w:tcPr>
            <w:tcW w:w="3119" w:type="dxa"/>
            <w:gridSpan w:val="2"/>
            <w:tcBorders>
              <w:top w:val="single" w:sz="4" w:space="0" w:color="auto"/>
              <w:left w:val="single" w:sz="4" w:space="0" w:color="auto"/>
              <w:bottom w:val="single" w:sz="4" w:space="0" w:color="auto"/>
              <w:right w:val="single" w:sz="4" w:space="0" w:color="auto"/>
            </w:tcBorders>
            <w:hideMark/>
          </w:tcPr>
          <w:p w:rsidR="00207728" w:rsidRDefault="00207728" w:rsidP="00A4744F">
            <w:pPr>
              <w:pStyle w:val="BodyText"/>
              <w:spacing w:before="60" w:line="276" w:lineRule="auto"/>
              <w:rPr>
                <w:rFonts w:cs="Arial"/>
                <w:color w:val="auto"/>
                <w:sz w:val="12"/>
                <w:szCs w:val="12"/>
              </w:rPr>
            </w:pPr>
          </w:p>
        </w:tc>
        <w:tc>
          <w:tcPr>
            <w:tcW w:w="1560"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line="276" w:lineRule="auto"/>
              <w:jc w:val="right"/>
              <w:rPr>
                <w:rFonts w:cs="Arial"/>
                <w:b/>
                <w:bCs/>
                <w:color w:val="auto"/>
                <w:sz w:val="12"/>
                <w:szCs w:val="12"/>
              </w:rPr>
            </w:pPr>
            <w:r>
              <w:rPr>
                <w:rFonts w:cs="Arial"/>
                <w:b/>
                <w:color w:val="auto"/>
                <w:sz w:val="12"/>
                <w:szCs w:val="12"/>
              </w:rPr>
              <w:t>Rev:</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8877F5" w:rsidP="00207728">
            <w:pPr>
              <w:pStyle w:val="BodyText"/>
              <w:tabs>
                <w:tab w:val="left" w:pos="1160"/>
              </w:tabs>
              <w:autoSpaceDE w:val="0"/>
              <w:autoSpaceDN w:val="0"/>
              <w:spacing w:before="60" w:line="276" w:lineRule="auto"/>
              <w:rPr>
                <w:rFonts w:cs="Arial"/>
                <w:color w:val="auto"/>
                <w:sz w:val="12"/>
                <w:szCs w:val="12"/>
              </w:rPr>
            </w:pPr>
            <w:r>
              <w:rPr>
                <w:rFonts w:cs="Arial"/>
                <w:color w:val="auto"/>
                <w:sz w:val="12"/>
                <w:szCs w:val="12"/>
              </w:rPr>
              <w:t>0</w:t>
            </w:r>
          </w:p>
        </w:tc>
      </w:tr>
      <w:tr w:rsidR="00207728">
        <w:trPr>
          <w:divId w:val="546915834"/>
          <w:cantSplit/>
        </w:trPr>
        <w:tc>
          <w:tcPr>
            <w:tcW w:w="1558"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tabs>
                <w:tab w:val="left" w:pos="1102"/>
              </w:tabs>
              <w:spacing w:before="60" w:after="60" w:line="276" w:lineRule="auto"/>
              <w:jc w:val="right"/>
              <w:rPr>
                <w:rFonts w:cs="Arial"/>
                <w:b/>
                <w:bCs/>
                <w:color w:val="auto"/>
                <w:sz w:val="12"/>
                <w:szCs w:val="12"/>
              </w:rPr>
            </w:pPr>
            <w:r>
              <w:rPr>
                <w:rFonts w:cs="Arial"/>
                <w:b/>
                <w:bCs/>
                <w:color w:val="auto"/>
                <w:sz w:val="12"/>
                <w:szCs w:val="12"/>
              </w:rPr>
              <w:t>Title:</w:t>
            </w:r>
          </w:p>
        </w:tc>
        <w:tc>
          <w:tcPr>
            <w:tcW w:w="4678" w:type="dxa"/>
            <w:gridSpan w:val="3"/>
            <w:tcBorders>
              <w:top w:val="single" w:sz="4" w:space="0" w:color="auto"/>
              <w:left w:val="single" w:sz="4" w:space="0" w:color="auto"/>
              <w:bottom w:val="single" w:sz="4" w:space="0" w:color="auto"/>
              <w:right w:val="single" w:sz="4" w:space="0" w:color="auto"/>
            </w:tcBorders>
            <w:hideMark/>
          </w:tcPr>
          <w:p w:rsidR="00207728" w:rsidRDefault="003609B3" w:rsidP="00E61B41">
            <w:pPr>
              <w:pStyle w:val="BodyText"/>
              <w:spacing w:before="60" w:after="60" w:line="276" w:lineRule="auto"/>
              <w:rPr>
                <w:rFonts w:cs="Arial"/>
                <w:color w:val="auto"/>
                <w:sz w:val="12"/>
                <w:szCs w:val="12"/>
              </w:rPr>
            </w:pPr>
            <w:r w:rsidRPr="003609B3">
              <w:rPr>
                <w:rFonts w:cs="Arial"/>
                <w:color w:val="auto"/>
                <w:sz w:val="12"/>
                <w:szCs w:val="12"/>
              </w:rPr>
              <w:t>Weekly Progress Report</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207728" w:rsidP="00F2511E">
            <w:pPr>
              <w:pStyle w:val="BodyText"/>
              <w:spacing w:before="60" w:after="60" w:line="276" w:lineRule="auto"/>
              <w:jc w:val="right"/>
              <w:rPr>
                <w:rFonts w:cs="Arial"/>
                <w:color w:val="auto"/>
                <w:sz w:val="12"/>
                <w:szCs w:val="12"/>
              </w:rPr>
            </w:pPr>
            <w:r>
              <w:rPr>
                <w:rFonts w:cs="Arial"/>
                <w:b/>
                <w:color w:val="auto"/>
                <w:sz w:val="12"/>
                <w:szCs w:val="12"/>
              </w:rPr>
              <w:t xml:space="preserve">Ship </w:t>
            </w:r>
            <w:r w:rsidR="00F2511E">
              <w:rPr>
                <w:rFonts w:cs="Arial"/>
                <w:b/>
                <w:color w:val="auto"/>
                <w:sz w:val="12"/>
                <w:szCs w:val="12"/>
              </w:rPr>
              <w:t>A</w:t>
            </w:r>
            <w:r>
              <w:rPr>
                <w:rFonts w:cs="Arial"/>
                <w:b/>
                <w:color w:val="auto"/>
                <w:sz w:val="12"/>
                <w:szCs w:val="12"/>
              </w:rPr>
              <w:t>pplicability:</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CB03EE" w:rsidP="00207728">
            <w:pPr>
              <w:pStyle w:val="BodyText"/>
              <w:spacing w:before="60" w:after="60" w:line="276" w:lineRule="auto"/>
              <w:rPr>
                <w:rFonts w:cs="Arial"/>
                <w:color w:val="auto"/>
                <w:sz w:val="12"/>
                <w:szCs w:val="12"/>
                <w:highlight w:val="yellow"/>
              </w:rPr>
            </w:pPr>
            <w:r w:rsidRPr="00CB03EE">
              <w:rPr>
                <w:rFonts w:cs="Arial"/>
                <w:color w:val="auto"/>
                <w:sz w:val="12"/>
                <w:szCs w:val="12"/>
              </w:rPr>
              <w:t>All</w:t>
            </w:r>
          </w:p>
        </w:tc>
      </w:tr>
      <w:tr w:rsidR="00207728">
        <w:trPr>
          <w:divId w:val="546915834"/>
          <w:cantSplit/>
        </w:trPr>
        <w:tc>
          <w:tcPr>
            <w:tcW w:w="1558"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after="60" w:line="276" w:lineRule="auto"/>
              <w:jc w:val="right"/>
              <w:rPr>
                <w:rFonts w:cs="Arial"/>
                <w:b/>
                <w:bCs/>
                <w:color w:val="auto"/>
                <w:sz w:val="12"/>
                <w:szCs w:val="12"/>
              </w:rPr>
            </w:pPr>
            <w:r>
              <w:rPr>
                <w:rFonts w:cs="Arial"/>
                <w:b/>
                <w:bCs/>
                <w:color w:val="auto"/>
                <w:sz w:val="12"/>
                <w:szCs w:val="12"/>
              </w:rPr>
              <w:t>Master Template Ref:</w:t>
            </w:r>
          </w:p>
        </w:tc>
        <w:tc>
          <w:tcPr>
            <w:tcW w:w="4678" w:type="dxa"/>
            <w:gridSpan w:val="3"/>
            <w:tcBorders>
              <w:top w:val="single" w:sz="4" w:space="0" w:color="auto"/>
              <w:left w:val="single" w:sz="4" w:space="0" w:color="auto"/>
              <w:bottom w:val="single" w:sz="4" w:space="0" w:color="auto"/>
              <w:right w:val="single" w:sz="4" w:space="0" w:color="auto"/>
            </w:tcBorders>
            <w:hideMark/>
          </w:tcPr>
          <w:p w:rsidR="00207728" w:rsidRDefault="003609B3" w:rsidP="002205BA">
            <w:pPr>
              <w:pStyle w:val="BodyText"/>
              <w:spacing w:before="60" w:after="60" w:line="276" w:lineRule="auto"/>
              <w:rPr>
                <w:rFonts w:cs="Arial"/>
                <w:b/>
                <w:color w:val="auto"/>
                <w:sz w:val="12"/>
                <w:szCs w:val="12"/>
              </w:rPr>
            </w:pPr>
            <w:r w:rsidRPr="003609B3">
              <w:rPr>
                <w:rFonts w:cs="Arial"/>
                <w:color w:val="auto"/>
                <w:sz w:val="12"/>
                <w:szCs w:val="12"/>
              </w:rPr>
              <w:t>FIN</w:t>
            </w:r>
            <w:r w:rsidR="00432380">
              <w:rPr>
                <w:rFonts w:cs="Arial"/>
                <w:color w:val="auto"/>
                <w:sz w:val="12"/>
                <w:szCs w:val="12"/>
              </w:rPr>
              <w:t>209</w:t>
            </w:r>
            <w:r w:rsidRPr="003609B3">
              <w:rPr>
                <w:rFonts w:cs="Arial"/>
                <w:color w:val="auto"/>
                <w:sz w:val="12"/>
                <w:szCs w:val="12"/>
              </w:rPr>
              <w:t xml:space="preserve"> Attachment 1</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after="60" w:line="276" w:lineRule="auto"/>
              <w:jc w:val="right"/>
              <w:rPr>
                <w:rFonts w:cs="Arial"/>
                <w:b/>
                <w:color w:val="auto"/>
                <w:sz w:val="12"/>
                <w:szCs w:val="12"/>
              </w:rPr>
            </w:pPr>
            <w:r>
              <w:rPr>
                <w:rFonts w:cs="Arial"/>
                <w:b/>
                <w:color w:val="auto"/>
                <w:sz w:val="12"/>
                <w:szCs w:val="12"/>
              </w:rPr>
              <w:t>Project:</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F2511E" w:rsidP="00207728">
            <w:pPr>
              <w:pStyle w:val="BodyText"/>
              <w:spacing w:before="60" w:after="60" w:line="276" w:lineRule="auto"/>
              <w:rPr>
                <w:rFonts w:cs="Arial"/>
                <w:color w:val="auto"/>
                <w:sz w:val="12"/>
                <w:szCs w:val="12"/>
              </w:rPr>
            </w:pPr>
            <w:r>
              <w:rPr>
                <w:rFonts w:cs="Arial"/>
                <w:color w:val="auto"/>
                <w:sz w:val="12"/>
                <w:szCs w:val="12"/>
              </w:rPr>
              <w:t>All</w:t>
            </w:r>
          </w:p>
        </w:tc>
      </w:tr>
      <w:tr w:rsidR="00207728">
        <w:trPr>
          <w:divId w:val="546915834"/>
          <w:cantSplit/>
          <w:trHeight w:val="236"/>
        </w:trPr>
        <w:tc>
          <w:tcPr>
            <w:tcW w:w="1558"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after="60" w:line="276" w:lineRule="auto"/>
              <w:jc w:val="center"/>
              <w:rPr>
                <w:rFonts w:cs="Arial"/>
                <w:b/>
                <w:bCs/>
                <w:color w:val="auto"/>
                <w:sz w:val="12"/>
                <w:szCs w:val="12"/>
              </w:rPr>
            </w:pPr>
            <w:r>
              <w:rPr>
                <w:rFonts w:cs="Arial"/>
                <w:b/>
                <w:bCs/>
                <w:color w:val="auto"/>
                <w:sz w:val="12"/>
                <w:szCs w:val="12"/>
              </w:rPr>
              <w:t>Type</w:t>
            </w:r>
          </w:p>
        </w:tc>
        <w:tc>
          <w:tcPr>
            <w:tcW w:w="1559" w:type="dxa"/>
            <w:tcBorders>
              <w:top w:val="single" w:sz="4" w:space="0" w:color="auto"/>
              <w:left w:val="single" w:sz="4" w:space="0" w:color="auto"/>
              <w:bottom w:val="single" w:sz="4" w:space="0" w:color="auto"/>
              <w:right w:val="single" w:sz="4" w:space="0" w:color="auto"/>
            </w:tcBorders>
            <w:hideMark/>
          </w:tcPr>
          <w:p w:rsidR="00207728" w:rsidRDefault="00F2511E" w:rsidP="00207728">
            <w:pPr>
              <w:pStyle w:val="BodyText"/>
              <w:spacing w:before="60" w:after="60" w:line="276" w:lineRule="auto"/>
              <w:jc w:val="center"/>
              <w:rPr>
                <w:rFonts w:cs="Arial"/>
                <w:color w:val="auto"/>
                <w:sz w:val="12"/>
                <w:szCs w:val="12"/>
              </w:rPr>
            </w:pPr>
            <w:r>
              <w:rPr>
                <w:rFonts w:cs="Arial"/>
                <w:b/>
                <w:bCs/>
                <w:color w:val="auto"/>
                <w:sz w:val="12"/>
                <w:szCs w:val="12"/>
              </w:rPr>
              <w:t>Organization</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after="60" w:line="276" w:lineRule="auto"/>
              <w:jc w:val="center"/>
              <w:rPr>
                <w:rFonts w:cs="Arial"/>
                <w:b/>
                <w:bCs/>
                <w:color w:val="auto"/>
                <w:sz w:val="12"/>
                <w:szCs w:val="12"/>
              </w:rPr>
            </w:pPr>
            <w:r>
              <w:rPr>
                <w:rFonts w:cs="Arial"/>
                <w:b/>
                <w:bCs/>
                <w:color w:val="auto"/>
                <w:sz w:val="12"/>
                <w:szCs w:val="12"/>
              </w:rPr>
              <w:t>Area</w:t>
            </w:r>
          </w:p>
        </w:tc>
        <w:tc>
          <w:tcPr>
            <w:tcW w:w="1559"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after="60" w:line="276" w:lineRule="auto"/>
              <w:jc w:val="center"/>
              <w:rPr>
                <w:rFonts w:cs="Arial"/>
                <w:b/>
                <w:color w:val="auto"/>
                <w:sz w:val="12"/>
                <w:szCs w:val="12"/>
              </w:rPr>
            </w:pPr>
            <w:r>
              <w:rPr>
                <w:rFonts w:cs="Arial"/>
                <w:b/>
                <w:color w:val="auto"/>
                <w:sz w:val="12"/>
                <w:szCs w:val="12"/>
              </w:rPr>
              <w:t>Supplier</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after="60" w:line="276" w:lineRule="auto"/>
              <w:jc w:val="center"/>
              <w:rPr>
                <w:rFonts w:cs="Arial"/>
                <w:color w:val="auto"/>
                <w:sz w:val="12"/>
                <w:szCs w:val="12"/>
              </w:rPr>
            </w:pPr>
            <w:r>
              <w:rPr>
                <w:rFonts w:cs="Arial"/>
                <w:b/>
                <w:bCs/>
                <w:color w:val="auto"/>
                <w:sz w:val="12"/>
                <w:szCs w:val="12"/>
              </w:rPr>
              <w:t>VSY Supplier Code</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after="60" w:line="276" w:lineRule="auto"/>
              <w:jc w:val="center"/>
              <w:rPr>
                <w:rFonts w:cs="Arial"/>
                <w:color w:val="auto"/>
                <w:sz w:val="12"/>
                <w:szCs w:val="12"/>
              </w:rPr>
            </w:pPr>
            <w:r>
              <w:rPr>
                <w:rFonts w:cs="Arial"/>
                <w:b/>
                <w:bCs/>
                <w:color w:val="auto"/>
                <w:sz w:val="12"/>
                <w:szCs w:val="12"/>
              </w:rPr>
              <w:t>SWBS</w:t>
            </w:r>
          </w:p>
        </w:tc>
      </w:tr>
      <w:tr w:rsidR="00207728">
        <w:trPr>
          <w:divId w:val="546915834"/>
          <w:cantSplit/>
          <w:trHeight w:val="239"/>
        </w:trPr>
        <w:tc>
          <w:tcPr>
            <w:tcW w:w="1558" w:type="dxa"/>
            <w:tcBorders>
              <w:top w:val="single" w:sz="4" w:space="0" w:color="auto"/>
              <w:left w:val="single" w:sz="4" w:space="0" w:color="auto"/>
              <w:bottom w:val="single" w:sz="4" w:space="0" w:color="auto"/>
              <w:right w:val="single" w:sz="4" w:space="0" w:color="auto"/>
            </w:tcBorders>
            <w:hideMark/>
          </w:tcPr>
          <w:p w:rsidR="00207728" w:rsidRDefault="00207728" w:rsidP="00207728">
            <w:pPr>
              <w:pStyle w:val="BodyText"/>
              <w:spacing w:before="60" w:after="60" w:line="276" w:lineRule="auto"/>
              <w:jc w:val="center"/>
              <w:rPr>
                <w:rFonts w:cs="Arial"/>
                <w:bCs/>
                <w:color w:val="auto"/>
                <w:sz w:val="12"/>
                <w:szCs w:val="12"/>
              </w:rPr>
            </w:pPr>
            <w:r>
              <w:rPr>
                <w:rFonts w:cs="Arial"/>
                <w:color w:val="auto"/>
                <w:sz w:val="12"/>
                <w:szCs w:val="12"/>
              </w:rPr>
              <w:t>DID</w:t>
            </w:r>
          </w:p>
        </w:tc>
        <w:tc>
          <w:tcPr>
            <w:tcW w:w="1559" w:type="dxa"/>
            <w:tcBorders>
              <w:top w:val="single" w:sz="4" w:space="0" w:color="auto"/>
              <w:left w:val="single" w:sz="4" w:space="0" w:color="auto"/>
              <w:bottom w:val="single" w:sz="4" w:space="0" w:color="auto"/>
              <w:right w:val="single" w:sz="4" w:space="0" w:color="auto"/>
            </w:tcBorders>
            <w:hideMark/>
          </w:tcPr>
          <w:p w:rsidR="00207728" w:rsidRDefault="00F2511E" w:rsidP="00207728">
            <w:pPr>
              <w:pStyle w:val="BodyText"/>
              <w:spacing w:before="60" w:after="60" w:line="276" w:lineRule="auto"/>
              <w:jc w:val="center"/>
              <w:rPr>
                <w:rFonts w:cs="Arial"/>
                <w:color w:val="auto"/>
                <w:sz w:val="12"/>
                <w:szCs w:val="12"/>
              </w:rPr>
            </w:pPr>
            <w:r>
              <w:rPr>
                <w:rFonts w:cs="Arial"/>
                <w:color w:val="auto"/>
                <w:sz w:val="12"/>
                <w:szCs w:val="12"/>
              </w:rPr>
              <w:t>VSY</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CF6864" w:rsidP="00207728">
            <w:pPr>
              <w:pStyle w:val="BodyText"/>
              <w:spacing w:before="60" w:after="60" w:line="276" w:lineRule="auto"/>
              <w:jc w:val="center"/>
              <w:rPr>
                <w:rFonts w:cs="Arial"/>
                <w:color w:val="auto"/>
                <w:sz w:val="12"/>
                <w:szCs w:val="12"/>
              </w:rPr>
            </w:pPr>
            <w:r>
              <w:rPr>
                <w:rFonts w:cs="Arial"/>
                <w:bCs/>
                <w:color w:val="auto"/>
                <w:sz w:val="12"/>
                <w:szCs w:val="12"/>
              </w:rPr>
              <w:t xml:space="preserve">Program Controls EVM </w:t>
            </w:r>
          </w:p>
        </w:tc>
        <w:tc>
          <w:tcPr>
            <w:tcW w:w="1559" w:type="dxa"/>
            <w:tcBorders>
              <w:top w:val="single" w:sz="4" w:space="0" w:color="auto"/>
              <w:left w:val="single" w:sz="4" w:space="0" w:color="auto"/>
              <w:bottom w:val="single" w:sz="4" w:space="0" w:color="auto"/>
              <w:right w:val="single" w:sz="4" w:space="0" w:color="auto"/>
            </w:tcBorders>
            <w:hideMark/>
          </w:tcPr>
          <w:p w:rsidR="00207728" w:rsidRDefault="00F2511E" w:rsidP="00207728">
            <w:pPr>
              <w:pStyle w:val="BodyText"/>
              <w:spacing w:before="60" w:after="60" w:line="276" w:lineRule="auto"/>
              <w:jc w:val="center"/>
              <w:rPr>
                <w:rFonts w:cs="Arial"/>
                <w:bCs/>
                <w:color w:val="auto"/>
                <w:sz w:val="12"/>
                <w:szCs w:val="12"/>
              </w:rPr>
            </w:pPr>
            <w:r>
              <w:rPr>
                <w:rFonts w:cs="Arial"/>
                <w:bCs/>
                <w:color w:val="auto"/>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F2511E" w:rsidP="00F2511E">
            <w:pPr>
              <w:pStyle w:val="BodyText"/>
              <w:tabs>
                <w:tab w:val="center" w:pos="672"/>
              </w:tabs>
              <w:spacing w:before="60" w:after="60" w:line="276" w:lineRule="auto"/>
              <w:jc w:val="center"/>
              <w:rPr>
                <w:rFonts w:cs="Arial"/>
                <w:color w:val="auto"/>
                <w:sz w:val="12"/>
                <w:szCs w:val="12"/>
              </w:rPr>
            </w:pPr>
            <w:r>
              <w:rPr>
                <w:rFonts w:cs="Arial"/>
                <w:color w:val="auto"/>
                <w:sz w:val="12"/>
                <w:szCs w:val="12"/>
              </w:rPr>
              <w:t>N/A</w:t>
            </w:r>
          </w:p>
        </w:tc>
        <w:tc>
          <w:tcPr>
            <w:tcW w:w="1560" w:type="dxa"/>
            <w:tcBorders>
              <w:top w:val="single" w:sz="4" w:space="0" w:color="auto"/>
              <w:left w:val="single" w:sz="4" w:space="0" w:color="auto"/>
              <w:bottom w:val="single" w:sz="4" w:space="0" w:color="auto"/>
              <w:right w:val="single" w:sz="4" w:space="0" w:color="auto"/>
            </w:tcBorders>
            <w:hideMark/>
          </w:tcPr>
          <w:p w:rsidR="00207728" w:rsidRDefault="00F2511E" w:rsidP="00207728">
            <w:pPr>
              <w:pStyle w:val="BodyText"/>
              <w:spacing w:before="60" w:after="60" w:line="276" w:lineRule="auto"/>
              <w:jc w:val="center"/>
              <w:rPr>
                <w:rFonts w:cs="Arial"/>
                <w:color w:val="auto"/>
                <w:sz w:val="12"/>
                <w:szCs w:val="12"/>
              </w:rPr>
            </w:pPr>
            <w:r>
              <w:rPr>
                <w:rFonts w:cs="Arial"/>
                <w:color w:val="auto"/>
                <w:sz w:val="12"/>
                <w:szCs w:val="12"/>
              </w:rPr>
              <w:t>All</w:t>
            </w:r>
          </w:p>
        </w:tc>
      </w:tr>
    </w:tbl>
    <w:p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rsidR="00207728" w:rsidRDefault="002205BA" w:rsidP="002205BA">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Weekly Progress Report</w:t>
      </w:r>
    </w:p>
    <w:p w:rsidR="00207728" w:rsidRDefault="003609B3"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FIN 20</w:t>
      </w:r>
      <w:r w:rsidR="00432380">
        <w:rPr>
          <w:rFonts w:ascii="Arial" w:eastAsia="Times New Roman" w:hAnsi="Arial" w:cs="Arial"/>
          <w:b/>
          <w:sz w:val="44"/>
          <w:szCs w:val="24"/>
        </w:rPr>
        <w:t>9</w:t>
      </w:r>
    </w:p>
    <w:p w:rsidR="00207728" w:rsidRDefault="00207728" w:rsidP="00207728">
      <w:pPr>
        <w:spacing w:after="480" w:line="240" w:lineRule="atLeast"/>
        <w:jc w:val="center"/>
        <w:rPr>
          <w:rFonts w:ascii="Arial" w:eastAsia="Times New Roman" w:hAnsi="Arial" w:cs="Arial"/>
          <w:b/>
          <w:sz w:val="44"/>
          <w:szCs w:val="24"/>
        </w:rPr>
      </w:pPr>
    </w:p>
    <w:p w:rsidR="00207728" w:rsidRDefault="00207728" w:rsidP="00D807DA">
      <w:pPr>
        <w:spacing w:after="1920" w:line="240" w:lineRule="atLeast"/>
        <w:jc w:val="center"/>
        <w:rPr>
          <w:rFonts w:ascii="Arial" w:eastAsia="Times New Roman" w:hAnsi="Arial" w:cs="Arial"/>
          <w:b/>
          <w:sz w:val="44"/>
          <w:szCs w:val="24"/>
        </w:rPr>
      </w:pPr>
    </w:p>
    <w:p w:rsidR="00207728" w:rsidRDefault="00207728" w:rsidP="00207728">
      <w:pPr>
        <w:tabs>
          <w:tab w:val="left" w:pos="1134"/>
        </w:tabs>
        <w:spacing w:after="0" w:line="240" w:lineRule="auto"/>
        <w:ind w:left="1134" w:hanging="1134"/>
        <w:rPr>
          <w:rFonts w:ascii="Arial" w:hAnsi="Arial" w:cs="Arial"/>
          <w:iCs/>
          <w:spacing w:val="15"/>
          <w:sz w:val="12"/>
          <w:szCs w:val="12"/>
        </w:rPr>
      </w:pPr>
      <w:proofErr w:type="gramStart"/>
      <w:r>
        <w:rPr>
          <w:rFonts w:ascii="Arial" w:hAnsi="Arial" w:cs="Arial"/>
          <w:iCs/>
          <w:spacing w:val="15"/>
          <w:sz w:val="12"/>
          <w:szCs w:val="12"/>
        </w:rPr>
        <w:t>Prepared by:</w:t>
      </w:r>
      <w:r>
        <w:rPr>
          <w:rFonts w:ascii="Arial" w:hAnsi="Arial" w:cs="Arial"/>
          <w:iCs/>
          <w:spacing w:val="15"/>
          <w:sz w:val="12"/>
          <w:szCs w:val="12"/>
        </w:rPr>
        <w:tab/>
        <w:t>Vancouver Shipyards Co. Ltd.</w:t>
      </w:r>
      <w:proofErr w:type="gramEnd"/>
    </w:p>
    <w:p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50 Pemberton Ave.</w:t>
      </w:r>
    </w:p>
    <w:p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North Vancouver, BC, Canada, V7P 2R2</w:t>
      </w:r>
    </w:p>
    <w:p w:rsidR="00207728" w:rsidRDefault="00207728" w:rsidP="00207728">
      <w:pPr>
        <w:spacing w:after="0" w:line="240" w:lineRule="auto"/>
        <w:ind w:left="1134"/>
        <w:rPr>
          <w:rFonts w:ascii="Arial" w:hAnsi="Arial" w:cs="Arial"/>
          <w:iCs/>
          <w:spacing w:val="15"/>
          <w:sz w:val="12"/>
          <w:szCs w:val="12"/>
        </w:rPr>
      </w:pPr>
      <w:r>
        <w:rPr>
          <w:rFonts w:ascii="Arial" w:hAnsi="Arial" w:cs="Arial"/>
          <w:iCs/>
          <w:spacing w:val="15"/>
          <w:sz w:val="12"/>
          <w:szCs w:val="12"/>
        </w:rPr>
        <w:t>Tel:  (604) 988-3111</w:t>
      </w:r>
    </w:p>
    <w:p w:rsidR="00207728" w:rsidRDefault="00207728" w:rsidP="00207728">
      <w:pPr>
        <w:spacing w:after="120" w:line="240" w:lineRule="auto"/>
        <w:ind w:left="1134"/>
        <w:rPr>
          <w:rFonts w:ascii="Arial" w:hAnsi="Arial" w:cs="Arial"/>
          <w:iCs/>
          <w:spacing w:val="15"/>
          <w:sz w:val="12"/>
          <w:szCs w:val="12"/>
        </w:rPr>
      </w:pPr>
      <w:r>
        <w:rPr>
          <w:rFonts w:ascii="Arial" w:hAnsi="Arial" w:cs="Arial"/>
          <w:iCs/>
          <w:spacing w:val="15"/>
          <w:sz w:val="12"/>
          <w:szCs w:val="12"/>
        </w:rPr>
        <w:t>Fax: (604) 984-1636</w:t>
      </w:r>
    </w:p>
    <w:p w:rsidR="00207728" w:rsidRPr="00C2600A" w:rsidRDefault="00207728" w:rsidP="00C2600A">
      <w:pPr>
        <w:tabs>
          <w:tab w:val="left" w:pos="2552"/>
        </w:tabs>
        <w:spacing w:after="0" w:line="240" w:lineRule="auto"/>
        <w:ind w:left="1701" w:hanging="1701"/>
        <w:rPr>
          <w:rFonts w:ascii="Arial" w:hAnsi="Arial" w:cs="Arial"/>
          <w:iCs/>
          <w:spacing w:val="15"/>
          <w:sz w:val="12"/>
          <w:szCs w:val="12"/>
        </w:rPr>
      </w:pPr>
      <w:r>
        <w:rPr>
          <w:rFonts w:ascii="Arial" w:hAnsi="Arial" w:cs="Arial"/>
          <w:bCs/>
          <w:sz w:val="12"/>
          <w:szCs w:val="12"/>
          <w:lang w:val="en-GB"/>
        </w:rPr>
        <w:t>© Vancouver Shipyards Co. Ltd. 2016</w:t>
      </w:r>
    </w:p>
    <w:p w:rsidR="00207728" w:rsidRDefault="00207728" w:rsidP="00453605">
      <w:pPr>
        <w:spacing w:line="240" w:lineRule="atLeast"/>
        <w:jc w:val="both"/>
        <w:rPr>
          <w:rFonts w:ascii="Arial" w:hAnsi="Arial" w:cs="Arial"/>
          <w:sz w:val="12"/>
          <w:szCs w:val="12"/>
          <w:lang w:val="en-GB"/>
        </w:rPr>
      </w:pPr>
      <w:r>
        <w:rPr>
          <w:rFonts w:ascii="Arial" w:hAnsi="Arial" w:cs="Arial"/>
          <w:b/>
          <w:bCs/>
          <w:sz w:val="44"/>
          <w:szCs w:val="44"/>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rsidTr="00B722CF">
        <w:tc>
          <w:tcPr>
            <w:tcW w:w="4788" w:type="dxa"/>
          </w:tcPr>
          <w:p w:rsidR="00C63E44" w:rsidRPr="00432380" w:rsidRDefault="008877F5" w:rsidP="00432380">
            <w:pPr>
              <w:spacing w:after="120" w:line="240" w:lineRule="atLeast"/>
              <w:rPr>
                <w:rFonts w:ascii="Arial" w:hAnsi="Arial" w:cs="Arial"/>
                <w:b/>
                <w:sz w:val="20"/>
                <w:szCs w:val="20"/>
                <w:lang w:val="en-GB" w:eastAsia="en-GB"/>
              </w:rPr>
            </w:pPr>
            <w:r w:rsidRPr="00432380">
              <w:rPr>
                <w:rFonts w:ascii="Arial" w:hAnsi="Arial" w:cs="Arial"/>
                <w:b/>
                <w:sz w:val="20"/>
                <w:szCs w:val="20"/>
                <w:lang w:val="en-GB" w:eastAsia="en-GB"/>
              </w:rPr>
              <w:lastRenderedPageBreak/>
              <w:t>WEEKLY PROGRESS R</w:t>
            </w:r>
            <w:r w:rsidR="002205BA" w:rsidRPr="00432380">
              <w:rPr>
                <w:rFonts w:ascii="Arial" w:hAnsi="Arial" w:cs="Arial"/>
                <w:b/>
                <w:sz w:val="20"/>
                <w:szCs w:val="20"/>
                <w:lang w:val="en-GB" w:eastAsia="en-GB"/>
              </w:rPr>
              <w:t>EPORT</w:t>
            </w:r>
          </w:p>
        </w:tc>
        <w:tc>
          <w:tcPr>
            <w:tcW w:w="4788" w:type="dxa"/>
          </w:tcPr>
          <w:p w:rsidR="00C63E44" w:rsidRPr="00961355" w:rsidRDefault="00432380" w:rsidP="00432380">
            <w:pPr>
              <w:spacing w:after="120" w:line="240" w:lineRule="atLeast"/>
              <w:jc w:val="right"/>
              <w:rPr>
                <w:rFonts w:ascii="Arial" w:hAnsi="Arial" w:cs="Arial"/>
                <w:b/>
                <w:sz w:val="24"/>
                <w:szCs w:val="24"/>
                <w:lang w:val="en-GB" w:eastAsia="en-GB"/>
              </w:rPr>
            </w:pPr>
            <w:r>
              <w:rPr>
                <w:rFonts w:ascii="Arial" w:hAnsi="Arial" w:cs="Arial"/>
                <w:b/>
                <w:sz w:val="24"/>
                <w:szCs w:val="24"/>
                <w:lang w:val="en-GB" w:eastAsia="en-GB"/>
              </w:rPr>
              <w:t>FIN</w:t>
            </w:r>
            <w:r w:rsidR="007602CD">
              <w:rPr>
                <w:rFonts w:ascii="Arial" w:hAnsi="Arial" w:cs="Arial"/>
                <w:b/>
                <w:sz w:val="24"/>
                <w:szCs w:val="24"/>
                <w:lang w:val="en-GB" w:eastAsia="en-GB"/>
              </w:rPr>
              <w:t>20</w:t>
            </w:r>
            <w:r>
              <w:rPr>
                <w:rFonts w:ascii="Arial" w:hAnsi="Arial" w:cs="Arial"/>
                <w:b/>
                <w:sz w:val="24"/>
                <w:szCs w:val="24"/>
                <w:lang w:val="en-GB" w:eastAsia="en-GB"/>
              </w:rPr>
              <w:t>9</w:t>
            </w:r>
          </w:p>
        </w:tc>
      </w:tr>
    </w:tbl>
    <w:p w:rsidR="002205BA" w:rsidRPr="00432380" w:rsidRDefault="002205BA" w:rsidP="00432380">
      <w:pPr>
        <w:numPr>
          <w:ilvl w:val="0"/>
          <w:numId w:val="39"/>
        </w:numPr>
        <w:spacing w:after="120" w:line="240" w:lineRule="atLeast"/>
        <w:contextualSpacing/>
        <w:rPr>
          <w:rFonts w:ascii="Arial" w:eastAsia="Times New Roman" w:hAnsi="Arial" w:cs="Arial"/>
          <w:sz w:val="16"/>
          <w:szCs w:val="16"/>
        </w:rPr>
      </w:pPr>
      <w:r w:rsidRPr="00432380">
        <w:rPr>
          <w:rFonts w:ascii="Arial" w:eastAsia="Times New Roman" w:hAnsi="Arial" w:cs="Arial"/>
          <w:sz w:val="16"/>
          <w:szCs w:val="16"/>
        </w:rPr>
        <w:t>This document sets out the guidance for EVM reporting structure throughout the D&amp;PE phase of the program.</w:t>
      </w:r>
    </w:p>
    <w:p w:rsidR="002205BA" w:rsidRPr="002205BA" w:rsidRDefault="002205BA" w:rsidP="00432380">
      <w:pPr>
        <w:spacing w:after="120" w:line="240" w:lineRule="atLeast"/>
        <w:ind w:left="786"/>
        <w:contextualSpacing/>
        <w:rPr>
          <w:rFonts w:ascii="Arial" w:eastAsia="Times New Roman" w:hAnsi="Arial" w:cs="Arial"/>
        </w:rPr>
      </w:pPr>
    </w:p>
    <w:p w:rsidR="002205BA" w:rsidRPr="00432380" w:rsidRDefault="002205BA" w:rsidP="00432380">
      <w:pPr>
        <w:spacing w:after="120" w:line="240" w:lineRule="atLeast"/>
        <w:outlineLvl w:val="1"/>
        <w:rPr>
          <w:rFonts w:ascii="Arial" w:eastAsia="Times New Roman" w:hAnsi="Arial" w:cs="Arial"/>
          <w:b/>
          <w:bCs/>
          <w:sz w:val="20"/>
          <w:szCs w:val="20"/>
        </w:rPr>
      </w:pPr>
      <w:r w:rsidRPr="00432380">
        <w:rPr>
          <w:rFonts w:ascii="Arial" w:eastAsia="Times New Roman" w:hAnsi="Arial" w:cs="Arial"/>
          <w:b/>
          <w:bCs/>
          <w:sz w:val="20"/>
          <w:szCs w:val="20"/>
        </w:rPr>
        <w:t>REQUIREMENTS</w:t>
      </w:r>
    </w:p>
    <w:p w:rsidR="002205BA" w:rsidRPr="00432380" w:rsidRDefault="002205BA" w:rsidP="00432380">
      <w:pPr>
        <w:numPr>
          <w:ilvl w:val="0"/>
          <w:numId w:val="45"/>
        </w:numPr>
        <w:spacing w:after="120" w:line="240" w:lineRule="atLeast"/>
        <w:contextualSpacing/>
        <w:rPr>
          <w:rFonts w:ascii="Arial" w:eastAsia="Times New Roman" w:hAnsi="Arial" w:cs="Arial"/>
          <w:sz w:val="16"/>
          <w:szCs w:val="16"/>
        </w:rPr>
      </w:pPr>
      <w:r w:rsidRPr="00432380">
        <w:rPr>
          <w:rFonts w:ascii="Arial" w:eastAsia="Times New Roman" w:hAnsi="Arial" w:cs="Arial"/>
          <w:sz w:val="16"/>
          <w:szCs w:val="16"/>
        </w:rPr>
        <w:t>Weekly Reporting</w:t>
      </w:r>
    </w:p>
    <w:p w:rsidR="002205BA" w:rsidRPr="00432380" w:rsidRDefault="002205BA" w:rsidP="00432380">
      <w:pPr>
        <w:numPr>
          <w:ilvl w:val="0"/>
          <w:numId w:val="40"/>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The Subcontractor must report the work packages to VSY as a Contract Work Breakdown Structure (CWBS) in the format provided in an Excel template provided by VSY. </w:t>
      </w:r>
    </w:p>
    <w:p w:rsidR="008877F5" w:rsidRPr="00432380" w:rsidRDefault="008877F5" w:rsidP="00432380">
      <w:pPr>
        <w:numPr>
          <w:ilvl w:val="0"/>
          <w:numId w:val="40"/>
        </w:numPr>
        <w:spacing w:after="120" w:line="240" w:lineRule="atLeast"/>
        <w:contextualSpacing/>
        <w:rPr>
          <w:rFonts w:ascii="Arial" w:eastAsia="Times New Roman" w:hAnsi="Arial" w:cs="Arial"/>
          <w:sz w:val="16"/>
          <w:szCs w:val="16"/>
        </w:rPr>
      </w:pPr>
      <w:r w:rsidRPr="00432380">
        <w:rPr>
          <w:rFonts w:ascii="Arial" w:eastAsia="Times New Roman" w:hAnsi="Arial" w:cs="Arial"/>
          <w:sz w:val="16"/>
          <w:szCs w:val="16"/>
        </w:rPr>
        <w:t>Each document shape in below represents a separate worksh</w:t>
      </w:r>
      <w:r w:rsidR="0091195E" w:rsidRPr="00432380">
        <w:rPr>
          <w:rFonts w:ascii="Arial" w:eastAsia="Times New Roman" w:hAnsi="Arial" w:cs="Arial"/>
          <w:sz w:val="16"/>
          <w:szCs w:val="16"/>
        </w:rPr>
        <w:t>eet embedded within the Weekly Progress Report excel workbook:</w:t>
      </w:r>
      <w:r w:rsidRPr="00432380">
        <w:rPr>
          <w:rFonts w:ascii="Arial" w:eastAsia="Times New Roman" w:hAnsi="Arial" w:cs="Arial"/>
          <w:sz w:val="16"/>
          <w:szCs w:val="16"/>
        </w:rPr>
        <w:t xml:space="preserve"> </w:t>
      </w:r>
    </w:p>
    <w:p w:rsidR="008877F5" w:rsidRPr="00432380" w:rsidRDefault="008877F5" w:rsidP="00432380">
      <w:pPr>
        <w:numPr>
          <w:ilvl w:val="1"/>
          <w:numId w:val="40"/>
        </w:numPr>
        <w:spacing w:after="120" w:line="240" w:lineRule="atLeast"/>
        <w:contextualSpacing/>
        <w:rPr>
          <w:rFonts w:ascii="Arial" w:eastAsia="Times New Roman" w:hAnsi="Arial" w:cs="Arial"/>
          <w:sz w:val="16"/>
          <w:szCs w:val="16"/>
        </w:rPr>
      </w:pPr>
      <w:r w:rsidRPr="00432380">
        <w:rPr>
          <w:rFonts w:ascii="Arial" w:eastAsia="Times New Roman" w:hAnsi="Arial" w:cs="Arial"/>
          <w:sz w:val="16"/>
          <w:szCs w:val="16"/>
        </w:rPr>
        <w:t>Earned value is calculated in hours;</w:t>
      </w:r>
    </w:p>
    <w:p w:rsidR="008877F5" w:rsidRDefault="008877F5" w:rsidP="00432380">
      <w:pPr>
        <w:numPr>
          <w:ilvl w:val="1"/>
          <w:numId w:val="40"/>
        </w:numPr>
        <w:spacing w:after="120" w:line="240" w:lineRule="atLeast"/>
        <w:contextualSpacing/>
        <w:rPr>
          <w:rFonts w:ascii="Arial" w:eastAsia="Times New Roman" w:hAnsi="Arial" w:cs="Arial"/>
          <w:sz w:val="16"/>
          <w:szCs w:val="16"/>
        </w:rPr>
      </w:pPr>
      <w:r w:rsidRPr="00432380">
        <w:rPr>
          <w:rFonts w:ascii="Arial" w:eastAsia="Times New Roman" w:hAnsi="Arial" w:cs="Arial"/>
          <w:sz w:val="16"/>
          <w:szCs w:val="16"/>
        </w:rPr>
        <w:t>Detailed timesheets must reconcile to actual invoices submitted on a monthly basis as validation for reported Actuals.</w:t>
      </w:r>
    </w:p>
    <w:p w:rsidR="00432380" w:rsidRPr="00432380" w:rsidRDefault="00432380" w:rsidP="00432380">
      <w:pPr>
        <w:spacing w:after="120" w:line="240" w:lineRule="atLeast"/>
        <w:ind w:left="1800"/>
        <w:contextualSpacing/>
        <w:rPr>
          <w:rFonts w:ascii="Arial" w:eastAsia="Times New Roman" w:hAnsi="Arial" w:cs="Arial"/>
          <w:sz w:val="16"/>
          <w:szCs w:val="16"/>
        </w:rPr>
      </w:pPr>
    </w:p>
    <w:p w:rsidR="008877F5" w:rsidRPr="002205BA" w:rsidRDefault="00CF6864" w:rsidP="00432380">
      <w:pPr>
        <w:spacing w:after="120" w:line="240" w:lineRule="atLeast"/>
        <w:ind w:left="720"/>
        <w:contextualSpacing/>
        <w:rPr>
          <w:rFonts w:ascii="Arial" w:eastAsia="Times New Roman" w:hAnsi="Arial" w:cs="Arial"/>
        </w:rPr>
      </w:pPr>
      <w:r w:rsidRPr="00CF6864">
        <w:drawing>
          <wp:inline distT="0" distB="0" distL="0" distR="0" wp14:anchorId="223BD9BF" wp14:editId="6D1D3460">
            <wp:extent cx="5943600" cy="260480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04809"/>
                    </a:xfrm>
                    <a:prstGeom prst="rect">
                      <a:avLst/>
                    </a:prstGeom>
                    <a:noFill/>
                    <a:ln>
                      <a:noFill/>
                    </a:ln>
                  </pic:spPr>
                </pic:pic>
              </a:graphicData>
            </a:graphic>
          </wp:inline>
        </w:drawing>
      </w:r>
    </w:p>
    <w:p w:rsidR="008877F5" w:rsidRDefault="008877F5" w:rsidP="00432380">
      <w:pPr>
        <w:spacing w:after="120" w:line="240" w:lineRule="atLeast"/>
        <w:ind w:left="786"/>
        <w:contextualSpacing/>
        <w:rPr>
          <w:rFonts w:ascii="Arial" w:eastAsia="Times New Roman" w:hAnsi="Arial" w:cs="Arial"/>
        </w:rPr>
      </w:pPr>
    </w:p>
    <w:p w:rsidR="002205BA" w:rsidRPr="002205BA" w:rsidRDefault="002205BA" w:rsidP="00432380">
      <w:pPr>
        <w:tabs>
          <w:tab w:val="left" w:pos="1620"/>
        </w:tabs>
        <w:spacing w:after="120" w:line="240" w:lineRule="atLeast"/>
        <w:ind w:left="1080"/>
        <w:rPr>
          <w:rFonts w:ascii="Arial" w:eastAsia="Times New Roman" w:hAnsi="Arial" w:cs="Arial"/>
        </w:rPr>
      </w:pPr>
      <w:r w:rsidRPr="002205BA">
        <w:rPr>
          <w:rFonts w:ascii="Arial" w:eastAsia="Times New Roman" w:hAnsi="Arial" w:cs="Arial"/>
        </w:rPr>
        <w:tab/>
      </w:r>
    </w:p>
    <w:p w:rsidR="002205BA" w:rsidRPr="00432380" w:rsidRDefault="002205BA" w:rsidP="00432380">
      <w:pPr>
        <w:numPr>
          <w:ilvl w:val="0"/>
          <w:numId w:val="40"/>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The Subcontractor must submit a weekly progress report by close of business </w:t>
      </w:r>
      <w:r w:rsidR="004330A3" w:rsidRPr="00432380">
        <w:rPr>
          <w:rFonts w:ascii="Arial" w:eastAsia="Times New Roman" w:hAnsi="Arial" w:cs="Arial"/>
          <w:sz w:val="16"/>
          <w:szCs w:val="16"/>
        </w:rPr>
        <w:t xml:space="preserve">17:00 PST </w:t>
      </w:r>
      <w:r w:rsidRPr="00432380">
        <w:rPr>
          <w:rFonts w:ascii="Arial" w:eastAsia="Times New Roman" w:hAnsi="Arial" w:cs="Arial"/>
          <w:sz w:val="16"/>
          <w:szCs w:val="16"/>
        </w:rPr>
        <w:t xml:space="preserve">each </w:t>
      </w:r>
      <w:r w:rsidR="00E61B41" w:rsidRPr="00432380">
        <w:rPr>
          <w:rFonts w:ascii="Arial" w:eastAsia="Times New Roman" w:hAnsi="Arial" w:cs="Arial"/>
          <w:sz w:val="16"/>
          <w:szCs w:val="16"/>
        </w:rPr>
        <w:t>Tuesday</w:t>
      </w:r>
      <w:r w:rsidRPr="00432380">
        <w:rPr>
          <w:rFonts w:ascii="Arial" w:eastAsia="Times New Roman" w:hAnsi="Arial" w:cs="Arial"/>
          <w:sz w:val="16"/>
          <w:szCs w:val="16"/>
        </w:rPr>
        <w:t xml:space="preserve"> for the term of each Task, this will include but is not limited to the following information:</w:t>
      </w:r>
    </w:p>
    <w:p w:rsidR="002205BA" w:rsidRPr="00432380" w:rsidRDefault="00E61B41" w:rsidP="00432380">
      <w:pPr>
        <w:numPr>
          <w:ilvl w:val="1"/>
          <w:numId w:val="41"/>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Weekly </w:t>
      </w:r>
      <w:r w:rsidR="002205BA" w:rsidRPr="00432380">
        <w:rPr>
          <w:rFonts w:ascii="Arial" w:eastAsia="Times New Roman" w:hAnsi="Arial" w:cs="Arial"/>
          <w:sz w:val="16"/>
          <w:szCs w:val="16"/>
        </w:rPr>
        <w:t>Progress Reports, must be provide</w:t>
      </w:r>
      <w:r w:rsidR="00EC1DEE" w:rsidRPr="00432380">
        <w:rPr>
          <w:rFonts w:ascii="Arial" w:eastAsia="Times New Roman" w:hAnsi="Arial" w:cs="Arial"/>
          <w:sz w:val="16"/>
          <w:szCs w:val="16"/>
        </w:rPr>
        <w:t xml:space="preserve">d using excel template </w:t>
      </w:r>
      <w:r w:rsidR="002205BA" w:rsidRPr="00432380">
        <w:rPr>
          <w:rFonts w:ascii="Arial" w:eastAsia="Times New Roman" w:hAnsi="Arial" w:cs="Arial"/>
          <w:sz w:val="16"/>
          <w:szCs w:val="16"/>
        </w:rPr>
        <w:t>provid</w:t>
      </w:r>
      <w:r w:rsidRPr="00432380">
        <w:rPr>
          <w:rFonts w:ascii="Arial" w:eastAsia="Times New Roman" w:hAnsi="Arial" w:cs="Arial"/>
          <w:sz w:val="16"/>
          <w:szCs w:val="16"/>
        </w:rPr>
        <w:t xml:space="preserve">ed by VSY which calculates </w:t>
      </w:r>
      <w:r w:rsidR="002205BA" w:rsidRPr="00432380">
        <w:rPr>
          <w:rFonts w:ascii="Arial" w:eastAsia="Times New Roman" w:hAnsi="Arial" w:cs="Arial"/>
          <w:sz w:val="16"/>
          <w:szCs w:val="16"/>
        </w:rPr>
        <w:t>Earned Value</w:t>
      </w:r>
      <w:r w:rsidRPr="00432380">
        <w:rPr>
          <w:rFonts w:ascii="Arial" w:eastAsia="Times New Roman" w:hAnsi="Arial" w:cs="Arial"/>
          <w:sz w:val="16"/>
          <w:szCs w:val="16"/>
        </w:rPr>
        <w:t xml:space="preserve"> based on hours</w:t>
      </w:r>
      <w:r w:rsidR="002205BA" w:rsidRPr="00432380">
        <w:rPr>
          <w:rFonts w:ascii="Arial" w:eastAsia="Times New Roman" w:hAnsi="Arial" w:cs="Arial"/>
          <w:sz w:val="16"/>
          <w:szCs w:val="16"/>
        </w:rPr>
        <w:t>;</w:t>
      </w:r>
    </w:p>
    <w:p w:rsidR="002205BA" w:rsidRPr="00432380" w:rsidRDefault="002205BA" w:rsidP="00432380">
      <w:pPr>
        <w:numPr>
          <w:ilvl w:val="1"/>
          <w:numId w:val="41"/>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On a weekly basis, reports must summarize progress that occurred Sunday to Saturday of the previous week and; </w:t>
      </w:r>
    </w:p>
    <w:p w:rsidR="002205BA" w:rsidRPr="00432380" w:rsidRDefault="002205BA" w:rsidP="00432380">
      <w:pPr>
        <w:numPr>
          <w:ilvl w:val="1"/>
          <w:numId w:val="41"/>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Changes to Performance Measurement Ba</w:t>
      </w:r>
      <w:r w:rsidR="00D7270A">
        <w:rPr>
          <w:rFonts w:ascii="Arial" w:eastAsia="Times New Roman" w:hAnsi="Arial" w:cs="Arial"/>
          <w:sz w:val="16"/>
          <w:szCs w:val="16"/>
        </w:rPr>
        <w:t>seline to be reported on weekly</w:t>
      </w:r>
      <w:r w:rsidRPr="00432380">
        <w:rPr>
          <w:rFonts w:ascii="Arial" w:eastAsia="Times New Roman" w:hAnsi="Arial" w:cs="Arial"/>
          <w:sz w:val="16"/>
          <w:szCs w:val="16"/>
        </w:rPr>
        <w:t xml:space="preserve"> basis;</w:t>
      </w:r>
    </w:p>
    <w:p w:rsidR="002205BA" w:rsidRPr="00432380" w:rsidRDefault="002205BA" w:rsidP="00432380">
      <w:pPr>
        <w:numPr>
          <w:ilvl w:val="1"/>
          <w:numId w:val="41"/>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Cost / Schedule variance to be reported</w:t>
      </w:r>
      <w:r w:rsidR="00C76EF8">
        <w:rPr>
          <w:rFonts w:ascii="Arial" w:eastAsia="Times New Roman" w:hAnsi="Arial" w:cs="Arial"/>
          <w:sz w:val="16"/>
          <w:szCs w:val="16"/>
        </w:rPr>
        <w:t>,</w:t>
      </w:r>
      <w:r w:rsidRPr="00432380">
        <w:rPr>
          <w:rFonts w:ascii="Arial" w:eastAsia="Times New Roman" w:hAnsi="Arial" w:cs="Arial"/>
          <w:sz w:val="16"/>
          <w:szCs w:val="16"/>
        </w:rPr>
        <w:t xml:space="preserve"> with root cause analysis and mitigation actions</w:t>
      </w:r>
      <w:r w:rsidR="00C76EF8">
        <w:rPr>
          <w:rFonts w:ascii="Arial" w:eastAsia="Times New Roman" w:hAnsi="Arial" w:cs="Arial"/>
          <w:sz w:val="16"/>
          <w:szCs w:val="16"/>
        </w:rPr>
        <w:t xml:space="preserve"> that might request after the fact by VSY</w:t>
      </w:r>
      <w:r w:rsidRPr="00432380">
        <w:rPr>
          <w:rFonts w:ascii="Arial" w:eastAsia="Times New Roman" w:hAnsi="Arial" w:cs="Arial"/>
          <w:sz w:val="16"/>
          <w:szCs w:val="16"/>
        </w:rPr>
        <w:t>;</w:t>
      </w:r>
    </w:p>
    <w:p w:rsidR="00EC1DEE" w:rsidRPr="00432380" w:rsidRDefault="00EC1DEE" w:rsidP="00432380">
      <w:pPr>
        <w:numPr>
          <w:ilvl w:val="1"/>
          <w:numId w:val="41"/>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A copy of the excel workbook template is provided in </w:t>
      </w:r>
      <w:r w:rsidRPr="00432380">
        <w:rPr>
          <w:rFonts w:ascii="Arial" w:eastAsia="Times New Roman" w:hAnsi="Arial" w:cs="Arial"/>
          <w:b/>
          <w:sz w:val="16"/>
          <w:szCs w:val="16"/>
        </w:rPr>
        <w:t>“FIN</w:t>
      </w:r>
      <w:r w:rsidR="00432380">
        <w:rPr>
          <w:rFonts w:ascii="Arial" w:eastAsia="Times New Roman" w:hAnsi="Arial" w:cs="Arial"/>
          <w:b/>
          <w:sz w:val="16"/>
          <w:szCs w:val="16"/>
        </w:rPr>
        <w:t>209</w:t>
      </w:r>
      <w:r w:rsidRPr="00432380">
        <w:rPr>
          <w:rFonts w:ascii="Arial" w:eastAsia="Times New Roman" w:hAnsi="Arial" w:cs="Arial"/>
          <w:b/>
          <w:sz w:val="16"/>
          <w:szCs w:val="16"/>
        </w:rPr>
        <w:t xml:space="preserve"> Attachment 1”</w:t>
      </w:r>
      <w:r w:rsidRPr="00432380">
        <w:rPr>
          <w:rFonts w:ascii="Arial" w:eastAsia="Times New Roman" w:hAnsi="Arial" w:cs="Arial"/>
          <w:sz w:val="16"/>
          <w:szCs w:val="16"/>
        </w:rPr>
        <w:t>;</w:t>
      </w:r>
    </w:p>
    <w:p w:rsidR="002205BA" w:rsidRPr="00432380" w:rsidRDefault="002205BA" w:rsidP="00432380">
      <w:pPr>
        <w:numPr>
          <w:ilvl w:val="1"/>
          <w:numId w:val="41"/>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Reports must be submitted via email to: Name: Carlos Palacios Viviani</w:t>
      </w:r>
    </w:p>
    <w:p w:rsidR="002205BA" w:rsidRPr="00432380" w:rsidRDefault="002205BA" w:rsidP="00432380">
      <w:pPr>
        <w:spacing w:after="120" w:line="240" w:lineRule="atLeast"/>
        <w:ind w:left="1800"/>
        <w:rPr>
          <w:rFonts w:ascii="Arial" w:eastAsia="Times New Roman" w:hAnsi="Arial" w:cs="Arial"/>
          <w:sz w:val="16"/>
          <w:szCs w:val="16"/>
        </w:rPr>
      </w:pPr>
      <w:r w:rsidRPr="00432380">
        <w:rPr>
          <w:rFonts w:ascii="Arial" w:eastAsia="Times New Roman" w:hAnsi="Arial" w:cs="Arial"/>
          <w:sz w:val="16"/>
          <w:szCs w:val="16"/>
        </w:rPr>
        <w:t>Title: Program Control Specialist</w:t>
      </w:r>
    </w:p>
    <w:p w:rsidR="002205BA" w:rsidRPr="00432380" w:rsidRDefault="002205BA" w:rsidP="00432380">
      <w:pPr>
        <w:spacing w:after="120" w:line="240" w:lineRule="atLeast"/>
        <w:ind w:left="1800"/>
        <w:rPr>
          <w:rFonts w:ascii="Arial" w:eastAsia="Times New Roman" w:hAnsi="Arial" w:cs="Arial"/>
          <w:sz w:val="16"/>
          <w:szCs w:val="16"/>
        </w:rPr>
      </w:pPr>
      <w:r w:rsidRPr="00432380">
        <w:rPr>
          <w:rFonts w:ascii="Arial" w:eastAsia="Times New Roman" w:hAnsi="Arial" w:cs="Arial"/>
          <w:sz w:val="16"/>
          <w:szCs w:val="16"/>
        </w:rPr>
        <w:t xml:space="preserve">Email: </w:t>
      </w:r>
      <w:hyperlink r:id="rId13" w:history="1">
        <w:r w:rsidRPr="00432380">
          <w:rPr>
            <w:rFonts w:ascii="Arial" w:eastAsia="Times New Roman" w:hAnsi="Arial" w:cs="Arial"/>
            <w:sz w:val="16"/>
            <w:szCs w:val="16"/>
            <w:u w:val="single"/>
          </w:rPr>
          <w:t>cpalaciosviviani@Seaspan.com</w:t>
        </w:r>
      </w:hyperlink>
      <w:r w:rsidRPr="00432380">
        <w:rPr>
          <w:rFonts w:ascii="Arial" w:eastAsia="Times New Roman" w:hAnsi="Arial" w:cs="Arial"/>
          <w:sz w:val="16"/>
          <w:szCs w:val="16"/>
        </w:rPr>
        <w:t xml:space="preserve"> with copy to </w:t>
      </w:r>
      <w:hyperlink r:id="rId14" w:history="1">
        <w:r w:rsidRPr="00432380">
          <w:rPr>
            <w:rFonts w:ascii="Arial" w:eastAsia="Times New Roman" w:hAnsi="Arial" w:cs="Arial"/>
            <w:sz w:val="16"/>
            <w:szCs w:val="16"/>
            <w:u w:val="single"/>
          </w:rPr>
          <w:t>JSSsubcontracts@seaspan.com</w:t>
        </w:r>
      </w:hyperlink>
    </w:p>
    <w:p w:rsidR="002205BA" w:rsidRPr="00432380" w:rsidRDefault="002205BA" w:rsidP="00432380">
      <w:pPr>
        <w:numPr>
          <w:ilvl w:val="0"/>
          <w:numId w:val="45"/>
        </w:numPr>
        <w:spacing w:after="120" w:line="240" w:lineRule="atLeast"/>
        <w:contextualSpacing/>
        <w:rPr>
          <w:rFonts w:ascii="Arial" w:eastAsia="Times New Roman" w:hAnsi="Arial" w:cs="Arial"/>
          <w:sz w:val="16"/>
          <w:szCs w:val="16"/>
        </w:rPr>
      </w:pPr>
      <w:r w:rsidRPr="00432380">
        <w:rPr>
          <w:rFonts w:ascii="Arial" w:eastAsia="Times New Roman" w:hAnsi="Arial" w:cs="Arial"/>
          <w:sz w:val="16"/>
          <w:szCs w:val="16"/>
        </w:rPr>
        <w:t>EVM</w:t>
      </w:r>
    </w:p>
    <w:p w:rsidR="002205BA" w:rsidRPr="00432380" w:rsidRDefault="002205BA" w:rsidP="00432380">
      <w:pPr>
        <w:numPr>
          <w:ilvl w:val="0"/>
          <w:numId w:val="42"/>
        </w:numPr>
        <w:spacing w:after="120" w:line="240" w:lineRule="atLeast"/>
        <w:rPr>
          <w:rFonts w:ascii="Arial" w:eastAsia="Times New Roman" w:hAnsi="Arial" w:cs="Arial"/>
          <w:sz w:val="16"/>
          <w:szCs w:val="16"/>
        </w:rPr>
      </w:pPr>
      <w:r w:rsidRPr="00432380">
        <w:rPr>
          <w:rFonts w:ascii="Arial" w:eastAsia="Times New Roman" w:hAnsi="Arial" w:cs="Arial"/>
          <w:sz w:val="16"/>
          <w:szCs w:val="16"/>
        </w:rPr>
        <w:lastRenderedPageBreak/>
        <w:t>Subcontractor to compile with one of the international standard for Earned Value Management Systems, e.g. ANSI/ EIA-748-C, Practical Standard for Earned Value Management –PMI or PM Book 5</w:t>
      </w:r>
      <w:r w:rsidRPr="00432380">
        <w:rPr>
          <w:rFonts w:ascii="Arial" w:eastAsia="Times New Roman" w:hAnsi="Arial" w:cs="Arial"/>
          <w:sz w:val="16"/>
          <w:szCs w:val="16"/>
          <w:vertAlign w:val="superscript"/>
        </w:rPr>
        <w:t>th</w:t>
      </w:r>
      <w:r w:rsidRPr="00432380">
        <w:rPr>
          <w:rFonts w:ascii="Arial" w:eastAsia="Times New Roman" w:hAnsi="Arial" w:cs="Arial"/>
          <w:sz w:val="16"/>
          <w:szCs w:val="16"/>
        </w:rPr>
        <w:t>.</w:t>
      </w:r>
    </w:p>
    <w:p w:rsidR="002205BA" w:rsidRPr="00432380" w:rsidRDefault="002205BA" w:rsidP="00432380">
      <w:pPr>
        <w:numPr>
          <w:ilvl w:val="0"/>
          <w:numId w:val="42"/>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WBS (Work Breakdown structure) - to be provided by VSY. Subcontractor to identify activities, logic and resources to execute each work package. No changes to VSY WBS structure without VSY approval.</w:t>
      </w:r>
    </w:p>
    <w:p w:rsidR="002205BA" w:rsidRPr="00432380" w:rsidRDefault="002205BA" w:rsidP="00432380">
      <w:pPr>
        <w:spacing w:after="120" w:line="240" w:lineRule="atLeast"/>
        <w:rPr>
          <w:rFonts w:ascii="Arial" w:eastAsia="Times New Roman" w:hAnsi="Arial" w:cs="Arial"/>
          <w:sz w:val="16"/>
          <w:szCs w:val="16"/>
        </w:rPr>
      </w:pPr>
    </w:p>
    <w:p w:rsidR="002205BA" w:rsidRPr="00432380" w:rsidRDefault="002205BA" w:rsidP="00432380">
      <w:pPr>
        <w:numPr>
          <w:ilvl w:val="0"/>
          <w:numId w:val="42"/>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OBS (Organization breakdown structure) - Subcontractor to submit OBS for VSY approval. Changes to OBS to be submitted to VSY as higher revision.  An OBS reflects the way in which the project has organized the people who will achieve the work. A WBS reflects the way in which work has been subdivided. To assign work responsibilities to appropriate organizational elements the WBS must be interrelated with the OBS. The assignment of lower-level work breakdown elements to responsible organizations provides a key control point for management purposes and cost collection. The integration of the WBS and the OBS at the control account level can be displayed as a matrix, with the OBS elements listed on one axis and the WBS elements on the other. This is the responsibility assignment matrix, where each element is a control account (CA) with a control account manager (CAM) responsible for its completion to budget. A control account will normally comprise a number of work packages (WPs). In some cases, a control account may be a single work package. Each work package should have the following attributes:</w:t>
      </w:r>
    </w:p>
    <w:p w:rsidR="002205BA" w:rsidRPr="00432380" w:rsidRDefault="002205BA" w:rsidP="00432380">
      <w:pPr>
        <w:numPr>
          <w:ilvl w:val="1"/>
          <w:numId w:val="43"/>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defined scope of work;</w:t>
      </w:r>
    </w:p>
    <w:p w:rsidR="002205BA" w:rsidRPr="00432380" w:rsidRDefault="002205BA" w:rsidP="00432380">
      <w:pPr>
        <w:numPr>
          <w:ilvl w:val="1"/>
          <w:numId w:val="43"/>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measure of achievement;</w:t>
      </w:r>
    </w:p>
    <w:p w:rsidR="002205BA" w:rsidRPr="00432380" w:rsidRDefault="002205BA" w:rsidP="00432380">
      <w:pPr>
        <w:numPr>
          <w:ilvl w:val="1"/>
          <w:numId w:val="43"/>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traceability up through the WBS;</w:t>
      </w:r>
    </w:p>
    <w:p w:rsidR="002205BA" w:rsidRPr="00432380" w:rsidRDefault="002205BA" w:rsidP="00432380">
      <w:pPr>
        <w:numPr>
          <w:ilvl w:val="1"/>
          <w:numId w:val="43"/>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budget;</w:t>
      </w:r>
    </w:p>
    <w:p w:rsidR="002205BA" w:rsidRPr="00432380" w:rsidRDefault="002205BA" w:rsidP="00432380">
      <w:pPr>
        <w:numPr>
          <w:ilvl w:val="1"/>
          <w:numId w:val="43"/>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assignment of responsibility;</w:t>
      </w:r>
    </w:p>
    <w:p w:rsidR="002205BA" w:rsidRPr="00432380" w:rsidRDefault="002205BA" w:rsidP="00432380">
      <w:pPr>
        <w:numPr>
          <w:ilvl w:val="1"/>
          <w:numId w:val="43"/>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Start and finish dates. </w:t>
      </w:r>
    </w:p>
    <w:p w:rsidR="002205BA" w:rsidRPr="00432380" w:rsidRDefault="002205BA" w:rsidP="00432380">
      <w:pPr>
        <w:numPr>
          <w:ilvl w:val="0"/>
          <w:numId w:val="42"/>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Actual hours and dollar amounts $ - Activity based </w:t>
      </w:r>
      <w:r w:rsidRPr="00432380">
        <w:rPr>
          <w:rFonts w:ascii="Arial" w:eastAsia="Times New Roman" w:hAnsi="Arial" w:cs="Arial"/>
          <w:sz w:val="16"/>
          <w:szCs w:val="16"/>
          <w:u w:val="single"/>
        </w:rPr>
        <w:t>cumulative</w:t>
      </w:r>
      <w:r w:rsidRPr="00432380">
        <w:rPr>
          <w:rFonts w:ascii="Arial" w:eastAsia="Times New Roman" w:hAnsi="Arial" w:cs="Arial"/>
          <w:sz w:val="16"/>
          <w:szCs w:val="16"/>
        </w:rPr>
        <w:t xml:space="preserve"> time sheets to be submitted to VS</w:t>
      </w:r>
      <w:bookmarkStart w:id="0" w:name="_GoBack"/>
      <w:bookmarkEnd w:id="0"/>
      <w:r w:rsidRPr="00432380">
        <w:rPr>
          <w:rFonts w:ascii="Arial" w:eastAsia="Times New Roman" w:hAnsi="Arial" w:cs="Arial"/>
          <w:sz w:val="16"/>
          <w:szCs w:val="16"/>
        </w:rPr>
        <w:t>Y for approval. Actual hours for EVM calculations to be based on the approved time sheets. Timesheet template to be provided by VSY as part of the Excel workbook template;</w:t>
      </w:r>
    </w:p>
    <w:p w:rsidR="002205BA" w:rsidRPr="00432380" w:rsidRDefault="002205BA" w:rsidP="00432380">
      <w:pPr>
        <w:numPr>
          <w:ilvl w:val="0"/>
          <w:numId w:val="42"/>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Planned Value - The sum of the budgets for all work packages, planning packages etc. scheduled to be achieved (including in-process work packages), plus the amount of level of effort and apportioned effort scheduled to be achieved. This may be expressed as the BCWS/PV within a given time period, such as period BCWS/PV or cumulative BCWS/PV. The time phased budget must be as per the approved performance measurement baseline. VSY approval is required for any change to performance measurement baseline.</w:t>
      </w:r>
    </w:p>
    <w:p w:rsidR="002205BA" w:rsidRPr="00432380" w:rsidRDefault="002205BA" w:rsidP="00432380">
      <w:pPr>
        <w:numPr>
          <w:ilvl w:val="0"/>
          <w:numId w:val="42"/>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Earned Value - The sum of the budgets for completed work packages and completed portions of open work packages, plus the applicable portion of the budgets for level of effort and apportioned effort. Whenever possible discrete earned value measurement technique to be used – According to the agreed rules of credit with VSY-. Since there are certain task’s effort that by itself is not readily measured or divisible into discrete work packages but which is related in direct proportion to the planning and performance on other measured effort; Apportioned effort technique to be used. It’s not advisable to use Level of effort technique where Effort of a general or supportive nature which does not produce definite ends products. However, in case it has been agreed to VSY to use this technique for certain tasks, Earned value for </w:t>
      </w:r>
      <w:proofErr w:type="spellStart"/>
      <w:r w:rsidRPr="00432380">
        <w:rPr>
          <w:rFonts w:ascii="Arial" w:eastAsia="Times New Roman" w:hAnsi="Arial" w:cs="Arial"/>
          <w:sz w:val="16"/>
          <w:szCs w:val="16"/>
        </w:rPr>
        <w:t>LoE</w:t>
      </w:r>
      <w:proofErr w:type="spellEnd"/>
      <w:r w:rsidRPr="00432380">
        <w:rPr>
          <w:rFonts w:ascii="Arial" w:eastAsia="Times New Roman" w:hAnsi="Arial" w:cs="Arial"/>
          <w:sz w:val="16"/>
          <w:szCs w:val="16"/>
        </w:rPr>
        <w:t xml:space="preserve"> always equals the planned budget to date (BCWS/PV) whether or not any work is performed.</w:t>
      </w:r>
    </w:p>
    <w:p w:rsidR="002205BA" w:rsidRPr="00432380" w:rsidRDefault="002205BA" w:rsidP="00432380">
      <w:pPr>
        <w:numPr>
          <w:ilvl w:val="0"/>
          <w:numId w:val="42"/>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CPI/SPI to be reported on both summary level and activities level </w:t>
      </w:r>
    </w:p>
    <w:p w:rsidR="002205BA" w:rsidRPr="00432380" w:rsidRDefault="002205BA" w:rsidP="00432380">
      <w:pPr>
        <w:numPr>
          <w:ilvl w:val="0"/>
          <w:numId w:val="42"/>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EAC/ETC calculation must have comprehensive bottom-up EACs developed at control account level. Subcontractor to report EAC/ETC basis of calculations. The following should be considered when defining a detailed EAC:</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past performance;</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required efficiency to recover;</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lastRenderedPageBreak/>
        <w:t>costs (incurred and committed) to date;</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 xml:space="preserve">the use of contract charging rates (incorporating overhead cost pools) to obtain the cost of </w:t>
      </w:r>
      <w:proofErr w:type="spellStart"/>
      <w:r w:rsidRPr="00432380">
        <w:rPr>
          <w:rFonts w:ascii="Arial" w:eastAsia="Times New Roman" w:hAnsi="Arial" w:cs="Arial"/>
          <w:sz w:val="16"/>
          <w:szCs w:val="16"/>
        </w:rPr>
        <w:t>labour</w:t>
      </w:r>
      <w:proofErr w:type="spellEnd"/>
      <w:r w:rsidRPr="00432380">
        <w:rPr>
          <w:rFonts w:ascii="Arial" w:eastAsia="Times New Roman" w:hAnsi="Arial" w:cs="Arial"/>
          <w:sz w:val="16"/>
          <w:szCs w:val="16"/>
        </w:rPr>
        <w:t xml:space="preserve"> based estimates;</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technical assessment of tasks remaining;</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cost and schedule variances incurred to date;</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expected future efficiency;</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percentage of task already completed and remaining risks (risk review and probability of cost impact);</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ongoing or outstanding management actions;</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forecast schedule completion of the task;</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anticipated changes to the scope of work;</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future economic conditions, forecast rate changes and escalation indices;</w:t>
      </w:r>
    </w:p>
    <w:p w:rsidR="002205BA" w:rsidRPr="00432380" w:rsidRDefault="002205BA" w:rsidP="00432380">
      <w:pPr>
        <w:numPr>
          <w:ilvl w:val="1"/>
          <w:numId w:val="44"/>
        </w:numPr>
        <w:spacing w:after="120" w:line="240" w:lineRule="atLeast"/>
        <w:rPr>
          <w:rFonts w:ascii="Arial" w:eastAsia="Times New Roman" w:hAnsi="Arial" w:cs="Arial"/>
          <w:sz w:val="16"/>
          <w:szCs w:val="16"/>
        </w:rPr>
      </w:pPr>
      <w:r w:rsidRPr="00432380">
        <w:rPr>
          <w:rFonts w:ascii="Arial" w:eastAsia="Times New Roman" w:hAnsi="Arial" w:cs="Arial"/>
          <w:sz w:val="16"/>
          <w:szCs w:val="16"/>
        </w:rPr>
        <w:t>Previous EAC trend.</w:t>
      </w:r>
    </w:p>
    <w:sectPr w:rsidR="002205BA" w:rsidRPr="00432380" w:rsidSect="0029119C">
      <w:headerReference w:type="default" r:id="rId15"/>
      <w:footerReference w:type="default" r:id="rId16"/>
      <w:pgSz w:w="12240" w:h="15840"/>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A0" w:rsidRDefault="00496EA0" w:rsidP="0095032B">
      <w:pPr>
        <w:spacing w:after="0" w:line="240" w:lineRule="auto"/>
      </w:pPr>
      <w:r>
        <w:separator/>
      </w:r>
    </w:p>
  </w:endnote>
  <w:endnote w:type="continuationSeparator" w:id="0">
    <w:p w:rsidR="00496EA0" w:rsidRDefault="00496EA0"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F45A7" w:rsidTr="00541490">
      <w:tc>
        <w:tcPr>
          <w:tcW w:w="3192" w:type="dxa"/>
        </w:tcPr>
        <w:p w:rsidR="004F45A7" w:rsidRPr="00EC4367" w:rsidRDefault="00CB03EE" w:rsidP="004F51BF">
          <w:pPr>
            <w:pStyle w:val="Footer"/>
            <w:rPr>
              <w:rFonts w:ascii="Arial" w:eastAsiaTheme="majorEastAsia" w:hAnsi="Arial" w:cs="Arial"/>
              <w:color w:val="7F7F7F" w:themeColor="text1" w:themeTint="80"/>
              <w:sz w:val="12"/>
              <w:szCs w:val="12"/>
            </w:rPr>
          </w:pPr>
          <w:r>
            <w:rPr>
              <w:rFonts w:ascii="Arial" w:eastAsiaTheme="majorEastAsia" w:hAnsi="Arial" w:cs="Arial"/>
              <w:color w:val="7F7F7F" w:themeColor="text1" w:themeTint="80"/>
              <w:sz w:val="12"/>
              <w:szCs w:val="12"/>
            </w:rPr>
            <w:t xml:space="preserve">Template ref: </w:t>
          </w:r>
          <w:r w:rsidR="004F51BF">
            <w:rPr>
              <w:rFonts w:ascii="Arial" w:eastAsiaTheme="majorEastAsia" w:hAnsi="Arial" w:cs="Arial"/>
              <w:color w:val="7F7F7F" w:themeColor="text1" w:themeTint="80"/>
              <w:sz w:val="12"/>
              <w:szCs w:val="12"/>
            </w:rPr>
            <w:t>FIN Attachment 1</w:t>
          </w:r>
        </w:p>
      </w:tc>
      <w:tc>
        <w:tcPr>
          <w:tcW w:w="3192" w:type="dxa"/>
        </w:tcPr>
        <w:p w:rsidR="004F45A7" w:rsidRPr="00EC4367" w:rsidRDefault="004F45A7" w:rsidP="00541490">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1081978679"/>
            <w:docPartObj>
              <w:docPartGallery w:val="Page Numbers (Top of Page)"/>
              <w:docPartUnique/>
            </w:docPartObj>
          </w:sdtPr>
          <w:sdtEndPr/>
          <w:sdtContent>
            <w:p w:rsidR="004F45A7" w:rsidRPr="002F7EC1" w:rsidRDefault="004F45A7" w:rsidP="00541490">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4E7FCB">
                <w:rPr>
                  <w:rFonts w:ascii="Arial" w:hAnsi="Arial" w:cs="Arial"/>
                  <w:noProof/>
                  <w:sz w:val="16"/>
                  <w:szCs w:val="16"/>
                  <w:lang w:val="en-GB"/>
                </w:rPr>
                <w:t>2</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D366F8">
                <w:rPr>
                  <w:rFonts w:ascii="Arial" w:hAnsi="Arial" w:cs="Arial"/>
                  <w:noProof/>
                  <w:sz w:val="16"/>
                  <w:szCs w:val="16"/>
                  <w:lang w:val="en-GB"/>
                </w:rPr>
                <w:fldChar w:fldCharType="begin"/>
              </w:r>
              <w:r w:rsidRPr="00D366F8">
                <w:rPr>
                  <w:rFonts w:ascii="Arial" w:hAnsi="Arial" w:cs="Arial"/>
                  <w:noProof/>
                  <w:sz w:val="16"/>
                  <w:szCs w:val="16"/>
                  <w:lang w:val="en-GB"/>
                </w:rPr>
                <w:instrText xml:space="preserve"> NUMPAGES  \* Arabic  \* MERGEFORMAT </w:instrText>
              </w:r>
              <w:r w:rsidRPr="00D366F8">
                <w:rPr>
                  <w:rFonts w:ascii="Arial" w:hAnsi="Arial" w:cs="Arial"/>
                  <w:noProof/>
                  <w:sz w:val="16"/>
                  <w:szCs w:val="16"/>
                  <w:lang w:val="en-GB"/>
                </w:rPr>
                <w:fldChar w:fldCharType="separate"/>
              </w:r>
              <w:r w:rsidR="004E7FCB">
                <w:rPr>
                  <w:rFonts w:ascii="Arial" w:hAnsi="Arial" w:cs="Arial"/>
                  <w:noProof/>
                  <w:sz w:val="16"/>
                  <w:szCs w:val="16"/>
                  <w:lang w:val="en-GB"/>
                </w:rPr>
                <w:t>4</w:t>
              </w:r>
              <w:r w:rsidRPr="00D366F8">
                <w:rPr>
                  <w:rFonts w:ascii="Arial" w:hAnsi="Arial" w:cs="Arial"/>
                  <w:noProof/>
                  <w:sz w:val="16"/>
                  <w:szCs w:val="16"/>
                  <w:lang w:val="en-GB"/>
                </w:rPr>
                <w:fldChar w:fldCharType="end"/>
              </w:r>
            </w:p>
          </w:sdtContent>
        </w:sdt>
      </w:tc>
    </w:tr>
    <w:tr w:rsidR="004F45A7" w:rsidTr="00541490">
      <w:tc>
        <w:tcPr>
          <w:tcW w:w="3192" w:type="dxa"/>
        </w:tcPr>
        <w:p w:rsidR="004F45A7" w:rsidRPr="00EC4367" w:rsidRDefault="004F45A7" w:rsidP="00541490">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EC4367">
            <w:rPr>
              <w:rFonts w:ascii="Arial" w:eastAsiaTheme="majorEastAsia" w:hAnsi="Arial" w:cs="Arial"/>
              <w:color w:val="7F7F7F" w:themeColor="text1" w:themeTint="80"/>
              <w:sz w:val="12"/>
              <w:szCs w:val="12"/>
              <w:highlight w:val="yellow"/>
            </w:rPr>
            <w:t>_____</w:t>
          </w:r>
        </w:p>
      </w:tc>
      <w:tc>
        <w:tcPr>
          <w:tcW w:w="3192" w:type="dxa"/>
        </w:tcPr>
        <w:p w:rsidR="004F45A7" w:rsidRPr="00EC4367" w:rsidRDefault="004F45A7" w:rsidP="00541490">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3192" w:type="dxa"/>
        </w:tcPr>
        <w:p w:rsidR="004F45A7" w:rsidRPr="00EC4367" w:rsidRDefault="004F45A7" w:rsidP="00541490">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EC4367">
            <w:rPr>
              <w:rFonts w:ascii="Arial" w:eastAsiaTheme="majorEastAsia" w:hAnsi="Arial" w:cs="Arial"/>
              <w:color w:val="7F7F7F" w:themeColor="text1" w:themeTint="80"/>
              <w:sz w:val="12"/>
              <w:szCs w:val="12"/>
              <w:highlight w:val="yellow"/>
            </w:rPr>
            <w:t>_____</w:t>
          </w:r>
        </w:p>
      </w:tc>
    </w:tr>
    <w:tr w:rsidR="004F45A7" w:rsidTr="00541490">
      <w:trPr>
        <w:trHeight w:val="64"/>
      </w:trPr>
      <w:tc>
        <w:tcPr>
          <w:tcW w:w="3192" w:type="dxa"/>
        </w:tcPr>
        <w:p w:rsidR="004F45A7" w:rsidRPr="00EC4367" w:rsidRDefault="004F45A7" w:rsidP="00541490">
          <w:pPr>
            <w:pStyle w:val="Footer"/>
            <w:rPr>
              <w:rFonts w:ascii="Arial" w:eastAsiaTheme="majorEastAsia" w:hAnsi="Arial" w:cs="Arial"/>
              <w:color w:val="7F7F7F" w:themeColor="text1" w:themeTint="80"/>
              <w:sz w:val="8"/>
              <w:szCs w:val="8"/>
            </w:rPr>
          </w:pPr>
        </w:p>
      </w:tc>
      <w:tc>
        <w:tcPr>
          <w:tcW w:w="3192" w:type="dxa"/>
        </w:tcPr>
        <w:p w:rsidR="004F45A7" w:rsidRPr="00EC4367" w:rsidRDefault="004F45A7" w:rsidP="00541490">
          <w:pPr>
            <w:pStyle w:val="Footer"/>
            <w:jc w:val="center"/>
            <w:rPr>
              <w:rFonts w:ascii="Arial" w:eastAsiaTheme="majorEastAsia" w:hAnsi="Arial" w:cs="Arial"/>
              <w:color w:val="7F7F7F" w:themeColor="text1" w:themeTint="80"/>
              <w:sz w:val="12"/>
              <w:szCs w:val="12"/>
              <w:highlight w:val="yellow"/>
            </w:rPr>
          </w:pPr>
          <w:r w:rsidRPr="00EC4367">
            <w:rPr>
              <w:rFonts w:ascii="Arial" w:eastAsiaTheme="majorEastAsia" w:hAnsi="Arial" w:cs="Arial"/>
              <w:color w:val="7F7F7F" w:themeColor="text1" w:themeTint="80"/>
              <w:sz w:val="12"/>
              <w:szCs w:val="12"/>
            </w:rPr>
            <w:t>VSY Proprietary / Commercial Sensitive</w:t>
          </w:r>
        </w:p>
      </w:tc>
      <w:tc>
        <w:tcPr>
          <w:tcW w:w="3192" w:type="dxa"/>
        </w:tcPr>
        <w:p w:rsidR="004F45A7" w:rsidRPr="00EC4367" w:rsidRDefault="004F45A7" w:rsidP="00541490">
          <w:pPr>
            <w:pStyle w:val="Footer"/>
            <w:jc w:val="right"/>
            <w:rPr>
              <w:rFonts w:ascii="Arial" w:eastAsiaTheme="majorEastAsia" w:hAnsi="Arial" w:cs="Arial"/>
              <w:color w:val="7F7F7F" w:themeColor="text1" w:themeTint="80"/>
              <w:sz w:val="12"/>
              <w:szCs w:val="12"/>
            </w:rPr>
          </w:pPr>
        </w:p>
      </w:tc>
    </w:tr>
  </w:tbl>
  <w:p w:rsidR="005F0599" w:rsidRPr="00A76278" w:rsidRDefault="005F0599" w:rsidP="00A7627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A0" w:rsidRDefault="00496EA0" w:rsidP="0095032B">
      <w:pPr>
        <w:spacing w:after="0" w:line="240" w:lineRule="auto"/>
      </w:pPr>
      <w:r>
        <w:separator/>
      </w:r>
    </w:p>
  </w:footnote>
  <w:footnote w:type="continuationSeparator" w:id="0">
    <w:p w:rsidR="00496EA0" w:rsidRDefault="00496EA0"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961355" w:rsidRPr="00D15F8B" w:rsidTr="00F2511E">
      <w:trPr>
        <w:trHeight w:val="813"/>
      </w:trPr>
      <w:tc>
        <w:tcPr>
          <w:tcW w:w="2600" w:type="dxa"/>
        </w:tcPr>
        <w:p w:rsidR="00961355" w:rsidRPr="006D429A" w:rsidRDefault="00961355" w:rsidP="00541490">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752E3C2E" wp14:editId="09C7A8C0">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rsidR="00F2511E" w:rsidRDefault="00F2511E" w:rsidP="00541490">
          <w:pPr>
            <w:tabs>
              <w:tab w:val="center" w:pos="4320"/>
              <w:tab w:val="right" w:pos="8640"/>
            </w:tabs>
            <w:spacing w:after="0" w:line="240" w:lineRule="auto"/>
            <w:jc w:val="center"/>
            <w:rPr>
              <w:rFonts w:ascii="Arial" w:hAnsi="Arial" w:cs="Arial"/>
              <w:color w:val="808080"/>
              <w:sz w:val="14"/>
              <w:szCs w:val="14"/>
              <w:lang w:val="en-GB"/>
            </w:rPr>
          </w:pPr>
        </w:p>
        <w:p w:rsidR="00894452" w:rsidRDefault="00432380" w:rsidP="00541490">
          <w:pPr>
            <w:tabs>
              <w:tab w:val="center" w:pos="4320"/>
              <w:tab w:val="right" w:pos="8640"/>
            </w:tabs>
            <w:spacing w:after="0" w:line="240" w:lineRule="auto"/>
            <w:jc w:val="center"/>
            <w:rPr>
              <w:rFonts w:ascii="Arial" w:hAnsi="Arial" w:cs="Arial"/>
              <w:color w:val="808080"/>
              <w:sz w:val="14"/>
              <w:szCs w:val="14"/>
              <w:lang w:val="en-GB"/>
            </w:rPr>
          </w:pPr>
          <w:r>
            <w:rPr>
              <w:rFonts w:ascii="Arial" w:hAnsi="Arial" w:cs="Arial"/>
              <w:color w:val="808080"/>
              <w:sz w:val="14"/>
              <w:szCs w:val="14"/>
              <w:lang w:val="en-GB"/>
            </w:rPr>
            <w:t>Weekly Progress Report</w:t>
          </w:r>
        </w:p>
        <w:p w:rsidR="00F2511E" w:rsidRDefault="00F2511E" w:rsidP="00541490">
          <w:pPr>
            <w:tabs>
              <w:tab w:val="center" w:pos="4320"/>
              <w:tab w:val="right" w:pos="8640"/>
            </w:tabs>
            <w:spacing w:after="0" w:line="240" w:lineRule="auto"/>
            <w:jc w:val="center"/>
            <w:rPr>
              <w:rFonts w:ascii="Arial" w:hAnsi="Arial" w:cs="Arial"/>
              <w:color w:val="808080"/>
              <w:sz w:val="14"/>
              <w:szCs w:val="14"/>
              <w:lang w:val="en-GB"/>
            </w:rPr>
          </w:pPr>
        </w:p>
        <w:p w:rsidR="00961355" w:rsidRPr="006D429A" w:rsidRDefault="00112A3F" w:rsidP="00432380">
          <w:pPr>
            <w:tabs>
              <w:tab w:val="center" w:pos="4320"/>
              <w:tab w:val="right" w:pos="8640"/>
            </w:tabs>
            <w:spacing w:after="0" w:line="240" w:lineRule="auto"/>
            <w:jc w:val="center"/>
            <w:rPr>
              <w:rFonts w:ascii="Arial" w:hAnsi="Arial" w:cs="Arial"/>
              <w:color w:val="808080"/>
              <w:sz w:val="12"/>
              <w:szCs w:val="12"/>
              <w:lang w:val="en-GB"/>
            </w:rPr>
          </w:pPr>
          <w:r>
            <w:rPr>
              <w:rFonts w:ascii="Arial" w:hAnsi="Arial" w:cs="Arial"/>
              <w:color w:val="808080"/>
              <w:sz w:val="14"/>
              <w:szCs w:val="14"/>
              <w:lang w:val="en-GB"/>
            </w:rPr>
            <w:t xml:space="preserve">Rev </w:t>
          </w:r>
          <w:r w:rsidR="00432380">
            <w:rPr>
              <w:rFonts w:ascii="Arial" w:hAnsi="Arial" w:cs="Arial"/>
              <w:color w:val="808080"/>
              <w:sz w:val="14"/>
              <w:szCs w:val="14"/>
              <w:lang w:val="en-GB"/>
            </w:rPr>
            <w:t>0</w:t>
          </w:r>
        </w:p>
      </w:tc>
      <w:tc>
        <w:tcPr>
          <w:tcW w:w="2645" w:type="dxa"/>
        </w:tcPr>
        <w:p w:rsidR="00961355" w:rsidRPr="009257B5" w:rsidRDefault="00961355" w:rsidP="00F2511E">
          <w:pPr>
            <w:tabs>
              <w:tab w:val="center" w:pos="4320"/>
              <w:tab w:val="right" w:pos="8640"/>
              <w:tab w:val="right" w:pos="8931"/>
            </w:tabs>
            <w:spacing w:before="240" w:after="120" w:line="240" w:lineRule="atLeast"/>
            <w:rPr>
              <w:rFonts w:ascii="Arial" w:hAnsi="Arial" w:cs="Arial"/>
              <w:color w:val="808080"/>
              <w:sz w:val="12"/>
              <w:szCs w:val="12"/>
              <w:lang w:val="en-GB"/>
            </w:rPr>
          </w:pPr>
          <w:r w:rsidRPr="009257B5">
            <w:rPr>
              <w:rFonts w:ascii="Arial" w:hAnsi="Arial" w:cs="Arial"/>
              <w:color w:val="808080"/>
              <w:sz w:val="12"/>
              <w:szCs w:val="12"/>
              <w:lang w:val="en-GB"/>
            </w:rPr>
            <w:t>Document No:</w:t>
          </w:r>
          <w:r w:rsidR="00A4744F">
            <w:rPr>
              <w:rFonts w:ascii="Arial" w:hAnsi="Arial" w:cs="Arial"/>
              <w:color w:val="808080"/>
              <w:sz w:val="12"/>
              <w:szCs w:val="12"/>
              <w:lang w:val="en-GB"/>
            </w:rPr>
            <w:t>VSY-A08-0108</w:t>
          </w:r>
        </w:p>
      </w:tc>
    </w:tr>
  </w:tbl>
  <w:p w:rsidR="005F0599" w:rsidRPr="00A76278" w:rsidRDefault="005F0599" w:rsidP="004A523F">
    <w:pPr>
      <w:pStyle w:val="Header"/>
      <w:tabs>
        <w:tab w:val="clear" w:pos="9360"/>
        <w:tab w:val="right" w:pos="12474"/>
        <w:tab w:val="right" w:pos="12758"/>
      </w:tabs>
      <w:ind w:right="486"/>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A918B2"/>
    <w:multiLevelType w:val="hybridMultilevel"/>
    <w:tmpl w:val="F1C492A4"/>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5">
    <w:nsid w:val="13F66AE9"/>
    <w:multiLevelType w:val="hybridMultilevel"/>
    <w:tmpl w:val="73DE795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1">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825EB1"/>
    <w:multiLevelType w:val="multilevel"/>
    <w:tmpl w:val="BFE089A0"/>
    <w:lvl w:ilvl="0">
      <w:start w:val="1"/>
      <w:numFmt w:val="decimal"/>
      <w:lvlText w:val="%1"/>
      <w:lvlJc w:val="left"/>
      <w:pPr>
        <w:tabs>
          <w:tab w:val="num" w:pos="712"/>
        </w:tabs>
        <w:ind w:left="712" w:hanging="709"/>
      </w:pPr>
      <w:rPr>
        <w:rFonts w:ascii="Arial" w:eastAsia="Times New Roman" w:hAnsi="Arial" w:cs="Arial" w:hint="default"/>
        <w:b w:val="0"/>
      </w:rPr>
    </w:lvl>
    <w:lvl w:ilvl="1">
      <w:start w:val="1"/>
      <w:numFmt w:val="decimal"/>
      <w:lvlText w:val="%1.%2"/>
      <w:lvlJc w:val="left"/>
      <w:pPr>
        <w:tabs>
          <w:tab w:val="num" w:pos="1136"/>
        </w:tabs>
        <w:ind w:left="1136" w:hanging="425"/>
      </w:pPr>
      <w:rPr>
        <w:rFonts w:hint="default"/>
      </w:rPr>
    </w:lvl>
    <w:lvl w:ilvl="2">
      <w:start w:val="1"/>
      <w:numFmt w:val="decimal"/>
      <w:lvlRestart w:val="1"/>
      <w:lvlText w:val="1.1.%3."/>
      <w:lvlJc w:val="left"/>
      <w:pPr>
        <w:tabs>
          <w:tab w:val="num" w:pos="1857"/>
        </w:tabs>
        <w:ind w:left="1561" w:hanging="424"/>
      </w:pPr>
      <w:rPr>
        <w:rFonts w:hint="default"/>
      </w:rPr>
    </w:lvl>
    <w:lvl w:ilvl="3">
      <w:start w:val="1"/>
      <w:numFmt w:val="decimal"/>
      <w:lvlRestart w:val="1"/>
      <w:lvlText w:val="1.1.1.%4"/>
      <w:lvlJc w:val="left"/>
      <w:pPr>
        <w:tabs>
          <w:tab w:val="num" w:pos="1987"/>
        </w:tabs>
        <w:ind w:left="1987" w:hanging="425"/>
      </w:pPr>
      <w:rPr>
        <w:rFonts w:hint="default"/>
        <w:color w:val="auto"/>
      </w:rPr>
    </w:lvl>
    <w:lvl w:ilvl="4">
      <w:start w:val="1"/>
      <w:numFmt w:val="bullet"/>
      <w:lvlText w:val=""/>
      <w:lvlJc w:val="left"/>
      <w:pPr>
        <w:tabs>
          <w:tab w:val="num" w:pos="2412"/>
        </w:tabs>
        <w:ind w:left="2412" w:hanging="424"/>
      </w:pPr>
      <w:rPr>
        <w:rFonts w:ascii="Symbol" w:hAnsi="Symbol" w:hint="default"/>
      </w:rPr>
    </w:lvl>
    <w:lvl w:ilvl="5">
      <w:start w:val="1"/>
      <w:numFmt w:val="lowerLetter"/>
      <w:lvlText w:val="(%6)"/>
      <w:lvlJc w:val="left"/>
      <w:pPr>
        <w:tabs>
          <w:tab w:val="num" w:pos="2739"/>
        </w:tabs>
        <w:ind w:left="2739" w:hanging="936"/>
      </w:pPr>
      <w:rPr>
        <w:rFonts w:ascii="Arial" w:eastAsia="Times New Roman" w:hAnsi="Arial" w:cs="Arial"/>
      </w:rPr>
    </w:lvl>
    <w:lvl w:ilvl="6">
      <w:start w:val="1"/>
      <w:numFmt w:val="none"/>
      <w:lvlText w:val=""/>
      <w:lvlJc w:val="left"/>
      <w:pPr>
        <w:tabs>
          <w:tab w:val="num" w:pos="3243"/>
        </w:tabs>
        <w:ind w:left="3243" w:hanging="1080"/>
      </w:pPr>
      <w:rPr>
        <w:rFonts w:hint="default"/>
      </w:rPr>
    </w:lvl>
    <w:lvl w:ilvl="7">
      <w:start w:val="1"/>
      <w:numFmt w:val="none"/>
      <w:lvlText w:val=""/>
      <w:lvlJc w:val="left"/>
      <w:pPr>
        <w:tabs>
          <w:tab w:val="num" w:pos="3747"/>
        </w:tabs>
        <w:ind w:left="3747" w:hanging="1224"/>
      </w:pPr>
      <w:rPr>
        <w:rFonts w:hint="default"/>
      </w:rPr>
    </w:lvl>
    <w:lvl w:ilvl="8">
      <w:start w:val="1"/>
      <w:numFmt w:val="none"/>
      <w:lvlText w:val=""/>
      <w:lvlJc w:val="left"/>
      <w:pPr>
        <w:tabs>
          <w:tab w:val="num" w:pos="4323"/>
        </w:tabs>
        <w:ind w:left="4323" w:hanging="1440"/>
      </w:pPr>
      <w:rPr>
        <w:rFonts w:hint="default"/>
      </w:rPr>
    </w:lvl>
  </w:abstractNum>
  <w:abstractNum w:abstractNumId="14">
    <w:nsid w:val="2D8204B8"/>
    <w:multiLevelType w:val="hybridMultilevel"/>
    <w:tmpl w:val="82883828"/>
    <w:lvl w:ilvl="0" w:tplc="1009000B">
      <w:start w:val="1"/>
      <w:numFmt w:val="bullet"/>
      <w:lvlText w:val=""/>
      <w:lvlJc w:val="left"/>
      <w:pPr>
        <w:ind w:left="2160" w:hanging="360"/>
      </w:pPr>
      <w:rPr>
        <w:rFonts w:ascii="Wingdings" w:hAnsi="Wingdings"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5">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16">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7">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8">
    <w:nsid w:val="4157707A"/>
    <w:multiLevelType w:val="hybridMultilevel"/>
    <w:tmpl w:val="FE48CD06"/>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9">
    <w:nsid w:val="451F6F70"/>
    <w:multiLevelType w:val="hybridMultilevel"/>
    <w:tmpl w:val="11BE1010"/>
    <w:lvl w:ilvl="0" w:tplc="A7BEB81A">
      <w:start w:val="1"/>
      <w:numFmt w:val="decimal"/>
      <w:lvlText w:val="%1."/>
      <w:lvlJc w:val="left"/>
      <w:pPr>
        <w:ind w:left="786" w:hanging="360"/>
      </w:pPr>
      <w:rPr>
        <w:strike w:val="0"/>
        <w:dstrike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nsid w:val="51BF5CB2"/>
    <w:multiLevelType w:val="multilevel"/>
    <w:tmpl w:val="AC56E02C"/>
    <w:lvl w:ilvl="0">
      <w:start w:val="3"/>
      <w:numFmt w:val="decimal"/>
      <w:lvlText w:val="%1"/>
      <w:lvlJc w:val="left"/>
      <w:pPr>
        <w:tabs>
          <w:tab w:val="num" w:pos="712"/>
        </w:tabs>
        <w:ind w:left="712" w:hanging="709"/>
      </w:pPr>
      <w:rPr>
        <w:rFonts w:ascii="Arial" w:eastAsia="Times New Roman" w:hAnsi="Arial" w:cs="Arial" w:hint="default"/>
        <w:b w:val="0"/>
      </w:rPr>
    </w:lvl>
    <w:lvl w:ilvl="1">
      <w:start w:val="1"/>
      <w:numFmt w:val="decimal"/>
      <w:lvlText w:val="%1.%2"/>
      <w:lvlJc w:val="left"/>
      <w:pPr>
        <w:tabs>
          <w:tab w:val="num" w:pos="1136"/>
        </w:tabs>
        <w:ind w:left="1136" w:hanging="425"/>
      </w:pPr>
      <w:rPr>
        <w:rFonts w:hint="default"/>
      </w:rPr>
    </w:lvl>
    <w:lvl w:ilvl="2">
      <w:start w:val="1"/>
      <w:numFmt w:val="decimal"/>
      <w:lvlRestart w:val="1"/>
      <w:lvlText w:val="1.1.%3."/>
      <w:lvlJc w:val="left"/>
      <w:pPr>
        <w:tabs>
          <w:tab w:val="num" w:pos="1857"/>
        </w:tabs>
        <w:ind w:left="1561" w:hanging="424"/>
      </w:pPr>
      <w:rPr>
        <w:rFonts w:hint="default"/>
      </w:rPr>
    </w:lvl>
    <w:lvl w:ilvl="3">
      <w:start w:val="1"/>
      <w:numFmt w:val="decimal"/>
      <w:lvlRestart w:val="1"/>
      <w:lvlText w:val="1.1.1.%4"/>
      <w:lvlJc w:val="left"/>
      <w:pPr>
        <w:tabs>
          <w:tab w:val="num" w:pos="1987"/>
        </w:tabs>
        <w:ind w:left="1987" w:hanging="425"/>
      </w:pPr>
      <w:rPr>
        <w:rFonts w:hint="default"/>
        <w:color w:val="auto"/>
      </w:rPr>
    </w:lvl>
    <w:lvl w:ilvl="4">
      <w:start w:val="1"/>
      <w:numFmt w:val="bullet"/>
      <w:lvlText w:val=""/>
      <w:lvlJc w:val="left"/>
      <w:pPr>
        <w:tabs>
          <w:tab w:val="num" w:pos="2412"/>
        </w:tabs>
        <w:ind w:left="2412" w:hanging="424"/>
      </w:pPr>
      <w:rPr>
        <w:rFonts w:ascii="Symbol" w:hAnsi="Symbol" w:hint="default"/>
      </w:rPr>
    </w:lvl>
    <w:lvl w:ilvl="5">
      <w:start w:val="1"/>
      <w:numFmt w:val="lowerLetter"/>
      <w:lvlText w:val="(%6)"/>
      <w:lvlJc w:val="left"/>
      <w:pPr>
        <w:tabs>
          <w:tab w:val="num" w:pos="2739"/>
        </w:tabs>
        <w:ind w:left="2739" w:hanging="936"/>
      </w:pPr>
      <w:rPr>
        <w:rFonts w:ascii="Arial" w:eastAsia="Times New Roman" w:hAnsi="Arial" w:cs="Arial" w:hint="default"/>
      </w:rPr>
    </w:lvl>
    <w:lvl w:ilvl="6">
      <w:start w:val="1"/>
      <w:numFmt w:val="none"/>
      <w:lvlText w:val=""/>
      <w:lvlJc w:val="left"/>
      <w:pPr>
        <w:tabs>
          <w:tab w:val="num" w:pos="3243"/>
        </w:tabs>
        <w:ind w:left="3243" w:hanging="1080"/>
      </w:pPr>
      <w:rPr>
        <w:rFonts w:hint="default"/>
      </w:rPr>
    </w:lvl>
    <w:lvl w:ilvl="7">
      <w:start w:val="1"/>
      <w:numFmt w:val="none"/>
      <w:lvlText w:val=""/>
      <w:lvlJc w:val="left"/>
      <w:pPr>
        <w:tabs>
          <w:tab w:val="num" w:pos="3747"/>
        </w:tabs>
        <w:ind w:left="3747" w:hanging="1224"/>
      </w:pPr>
      <w:rPr>
        <w:rFonts w:hint="default"/>
      </w:rPr>
    </w:lvl>
    <w:lvl w:ilvl="8">
      <w:start w:val="1"/>
      <w:numFmt w:val="none"/>
      <w:lvlText w:val=""/>
      <w:lvlJc w:val="left"/>
      <w:pPr>
        <w:tabs>
          <w:tab w:val="num" w:pos="4323"/>
        </w:tabs>
        <w:ind w:left="4323" w:hanging="1440"/>
      </w:pPr>
      <w:rPr>
        <w:rFonts w:hint="default"/>
      </w:rPr>
    </w:lvl>
  </w:abstractNum>
  <w:abstractNum w:abstractNumId="22">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1333F19"/>
    <w:multiLevelType w:val="hybridMultilevel"/>
    <w:tmpl w:val="B47A2B16"/>
    <w:lvl w:ilvl="0" w:tplc="65E8FA4A">
      <w:start w:val="1"/>
      <w:numFmt w:val="decimal"/>
      <w:lvlText w:val="%1"/>
      <w:lvlJc w:val="left"/>
      <w:pPr>
        <w:ind w:left="924" w:hanging="5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8">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31">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F931DC6"/>
    <w:multiLevelType w:val="hybridMultilevel"/>
    <w:tmpl w:val="9E6AE754"/>
    <w:lvl w:ilvl="0" w:tplc="10090001">
      <w:start w:val="1"/>
      <w:numFmt w:val="bullet"/>
      <w:lvlText w:val=""/>
      <w:lvlJc w:val="left"/>
      <w:pPr>
        <w:ind w:left="1440" w:hanging="360"/>
      </w:pPr>
      <w:rPr>
        <w:rFonts w:ascii="Symbol" w:hAnsi="Symbol" w:hint="default"/>
      </w:rPr>
    </w:lvl>
    <w:lvl w:ilvl="1" w:tplc="0A908008">
      <w:start w:val="7"/>
      <w:numFmt w:val="bullet"/>
      <w:lvlText w:val="•"/>
      <w:lvlJc w:val="left"/>
      <w:pPr>
        <w:ind w:left="2160" w:hanging="360"/>
      </w:pPr>
      <w:rPr>
        <w:rFonts w:ascii="Calibri" w:eastAsia="Calibri" w:hAnsi="Calibri" w:cs="Times New Roman"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3">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60F6E92"/>
    <w:multiLevelType w:val="hybridMultilevel"/>
    <w:tmpl w:val="11BE1010"/>
    <w:lvl w:ilvl="0" w:tplc="A7BEB81A">
      <w:start w:val="1"/>
      <w:numFmt w:val="decimal"/>
      <w:lvlText w:val="%1."/>
      <w:lvlJc w:val="left"/>
      <w:pPr>
        <w:ind w:left="786" w:hanging="360"/>
      </w:pPr>
      <w:rPr>
        <w:strike w:val="0"/>
        <w:dstrike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0"/>
  </w:num>
  <w:num w:numId="4">
    <w:abstractNumId w:val="27"/>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7"/>
  </w:num>
  <w:num w:numId="9">
    <w:abstractNumId w:val="30"/>
  </w:num>
  <w:num w:numId="10">
    <w:abstractNumId w:val="0"/>
  </w:num>
  <w:num w:numId="11">
    <w:abstractNumId w:val="36"/>
  </w:num>
  <w:num w:numId="12">
    <w:abstractNumId w:val="15"/>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24"/>
  </w:num>
  <w:num w:numId="22">
    <w:abstractNumId w:val="1"/>
  </w:num>
  <w:num w:numId="23">
    <w:abstractNumId w:val="29"/>
  </w:num>
  <w:num w:numId="24">
    <w:abstractNumId w:val="31"/>
  </w:num>
  <w:num w:numId="25">
    <w:abstractNumId w:val="22"/>
  </w:num>
  <w:num w:numId="26">
    <w:abstractNumId w:val="3"/>
  </w:num>
  <w:num w:numId="27">
    <w:abstractNumId w:val="12"/>
  </w:num>
  <w:num w:numId="28">
    <w:abstractNumId w:val="34"/>
  </w:num>
  <w:num w:numId="29">
    <w:abstractNumId w:val="23"/>
  </w:num>
  <w:num w:numId="30">
    <w:abstractNumId w:val="2"/>
  </w:num>
  <w:num w:numId="31">
    <w:abstractNumId w:val="20"/>
  </w:num>
  <w:num w:numId="32">
    <w:abstractNumId w:val="25"/>
  </w:num>
  <w:num w:numId="33">
    <w:abstractNumId w:val="8"/>
  </w:num>
  <w:num w:numId="34">
    <w:abstractNumId w:val="16"/>
  </w:num>
  <w:num w:numId="35">
    <w:abstractNumId w:val="7"/>
  </w:num>
  <w:num w:numId="36">
    <w:abstractNumId w:val="13"/>
  </w:num>
  <w:num w:numId="37">
    <w:abstractNumId w:val="26"/>
  </w:num>
  <w:num w:numId="38">
    <w:abstractNumId w:val="21"/>
  </w:num>
  <w:num w:numId="39">
    <w:abstractNumId w:val="19"/>
  </w:num>
  <w:num w:numId="40">
    <w:abstractNumId w:val="5"/>
  </w:num>
  <w:num w:numId="41">
    <w:abstractNumId w:val="18"/>
  </w:num>
  <w:num w:numId="42">
    <w:abstractNumId w:val="32"/>
  </w:num>
  <w:num w:numId="43">
    <w:abstractNumId w:val="14"/>
  </w:num>
  <w:num w:numId="44">
    <w:abstractNumId w:val="4"/>
  </w:num>
  <w:num w:numId="45">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112AD"/>
    <w:rsid w:val="00022EDD"/>
    <w:rsid w:val="000245E7"/>
    <w:rsid w:val="00033D33"/>
    <w:rsid w:val="00046FC3"/>
    <w:rsid w:val="000714E6"/>
    <w:rsid w:val="00073F18"/>
    <w:rsid w:val="00092D1C"/>
    <w:rsid w:val="000A6EE3"/>
    <w:rsid w:val="000B7196"/>
    <w:rsid w:val="000B7607"/>
    <w:rsid w:val="000C02D6"/>
    <w:rsid w:val="000C26CE"/>
    <w:rsid w:val="000C343C"/>
    <w:rsid w:val="000E13E5"/>
    <w:rsid w:val="000F2FD3"/>
    <w:rsid w:val="00111DE6"/>
    <w:rsid w:val="00112A3F"/>
    <w:rsid w:val="00112ED4"/>
    <w:rsid w:val="0011531C"/>
    <w:rsid w:val="00121278"/>
    <w:rsid w:val="001255E9"/>
    <w:rsid w:val="001334E3"/>
    <w:rsid w:val="00133FF5"/>
    <w:rsid w:val="001342B2"/>
    <w:rsid w:val="00135420"/>
    <w:rsid w:val="0014742D"/>
    <w:rsid w:val="00151CC5"/>
    <w:rsid w:val="00171302"/>
    <w:rsid w:val="00185136"/>
    <w:rsid w:val="001B67D4"/>
    <w:rsid w:val="001C1EE2"/>
    <w:rsid w:val="001D128D"/>
    <w:rsid w:val="001F4404"/>
    <w:rsid w:val="00207728"/>
    <w:rsid w:val="00216036"/>
    <w:rsid w:val="002161F5"/>
    <w:rsid w:val="002205BA"/>
    <w:rsid w:val="00230E3D"/>
    <w:rsid w:val="00232780"/>
    <w:rsid w:val="00232D6E"/>
    <w:rsid w:val="002512D9"/>
    <w:rsid w:val="0025368F"/>
    <w:rsid w:val="00256660"/>
    <w:rsid w:val="00262B0E"/>
    <w:rsid w:val="0029119C"/>
    <w:rsid w:val="002A4D78"/>
    <w:rsid w:val="002B6C2A"/>
    <w:rsid w:val="002E2AB5"/>
    <w:rsid w:val="002E7610"/>
    <w:rsid w:val="00302803"/>
    <w:rsid w:val="0035382F"/>
    <w:rsid w:val="003609B3"/>
    <w:rsid w:val="00382231"/>
    <w:rsid w:val="00394158"/>
    <w:rsid w:val="003A1E97"/>
    <w:rsid w:val="003A55E7"/>
    <w:rsid w:val="003B36D8"/>
    <w:rsid w:val="003D150E"/>
    <w:rsid w:val="003E4CFB"/>
    <w:rsid w:val="00400CED"/>
    <w:rsid w:val="00403C2C"/>
    <w:rsid w:val="00407AF8"/>
    <w:rsid w:val="00416AEF"/>
    <w:rsid w:val="00426F2E"/>
    <w:rsid w:val="00427C70"/>
    <w:rsid w:val="00430E9A"/>
    <w:rsid w:val="004314C0"/>
    <w:rsid w:val="00432380"/>
    <w:rsid w:val="004330A3"/>
    <w:rsid w:val="004379D9"/>
    <w:rsid w:val="00443C52"/>
    <w:rsid w:val="00452510"/>
    <w:rsid w:val="00452DF8"/>
    <w:rsid w:val="00453605"/>
    <w:rsid w:val="00472056"/>
    <w:rsid w:val="00483924"/>
    <w:rsid w:val="004967AB"/>
    <w:rsid w:val="00496EA0"/>
    <w:rsid w:val="004A523F"/>
    <w:rsid w:val="004B6227"/>
    <w:rsid w:val="004C1825"/>
    <w:rsid w:val="004D24B5"/>
    <w:rsid w:val="004D4B9E"/>
    <w:rsid w:val="004E1488"/>
    <w:rsid w:val="004E36F9"/>
    <w:rsid w:val="004E7FCB"/>
    <w:rsid w:val="004F40E3"/>
    <w:rsid w:val="004F45A7"/>
    <w:rsid w:val="004F5030"/>
    <w:rsid w:val="004F51BF"/>
    <w:rsid w:val="005153F9"/>
    <w:rsid w:val="00520F40"/>
    <w:rsid w:val="00522CFB"/>
    <w:rsid w:val="005438B1"/>
    <w:rsid w:val="0054691B"/>
    <w:rsid w:val="005619ED"/>
    <w:rsid w:val="00590B0E"/>
    <w:rsid w:val="0059250E"/>
    <w:rsid w:val="00593EEA"/>
    <w:rsid w:val="005A5E7E"/>
    <w:rsid w:val="005B0EED"/>
    <w:rsid w:val="005C5C00"/>
    <w:rsid w:val="005D7BF5"/>
    <w:rsid w:val="005F0220"/>
    <w:rsid w:val="005F0599"/>
    <w:rsid w:val="005F42E3"/>
    <w:rsid w:val="005F5DCD"/>
    <w:rsid w:val="005F655F"/>
    <w:rsid w:val="00613DDE"/>
    <w:rsid w:val="00623ED6"/>
    <w:rsid w:val="006415A8"/>
    <w:rsid w:val="0066152F"/>
    <w:rsid w:val="00670C62"/>
    <w:rsid w:val="00694308"/>
    <w:rsid w:val="006A01D9"/>
    <w:rsid w:val="006A6B66"/>
    <w:rsid w:val="006B3D22"/>
    <w:rsid w:val="006D1695"/>
    <w:rsid w:val="006D6717"/>
    <w:rsid w:val="006F3A36"/>
    <w:rsid w:val="006F41A5"/>
    <w:rsid w:val="007010C3"/>
    <w:rsid w:val="007162A2"/>
    <w:rsid w:val="00726873"/>
    <w:rsid w:val="00730E3C"/>
    <w:rsid w:val="007349F0"/>
    <w:rsid w:val="00735A93"/>
    <w:rsid w:val="007602CD"/>
    <w:rsid w:val="00760483"/>
    <w:rsid w:val="00764A1B"/>
    <w:rsid w:val="00777F6A"/>
    <w:rsid w:val="00783402"/>
    <w:rsid w:val="007A498A"/>
    <w:rsid w:val="007C3749"/>
    <w:rsid w:val="007F4F1B"/>
    <w:rsid w:val="0080364B"/>
    <w:rsid w:val="0080422F"/>
    <w:rsid w:val="008044FB"/>
    <w:rsid w:val="00812B59"/>
    <w:rsid w:val="00814959"/>
    <w:rsid w:val="00827ED1"/>
    <w:rsid w:val="0083547C"/>
    <w:rsid w:val="00836982"/>
    <w:rsid w:val="00836CD2"/>
    <w:rsid w:val="0084415D"/>
    <w:rsid w:val="0084564C"/>
    <w:rsid w:val="00854661"/>
    <w:rsid w:val="00865CA6"/>
    <w:rsid w:val="00871BDA"/>
    <w:rsid w:val="00880304"/>
    <w:rsid w:val="00886E79"/>
    <w:rsid w:val="008877F5"/>
    <w:rsid w:val="00894452"/>
    <w:rsid w:val="008A60C3"/>
    <w:rsid w:val="0091195E"/>
    <w:rsid w:val="00926D26"/>
    <w:rsid w:val="009275C9"/>
    <w:rsid w:val="0094003C"/>
    <w:rsid w:val="0095032B"/>
    <w:rsid w:val="00961355"/>
    <w:rsid w:val="00974D8D"/>
    <w:rsid w:val="009B4100"/>
    <w:rsid w:val="009C3C10"/>
    <w:rsid w:val="009D40F3"/>
    <w:rsid w:val="009F124D"/>
    <w:rsid w:val="00A30BAD"/>
    <w:rsid w:val="00A37925"/>
    <w:rsid w:val="00A4744F"/>
    <w:rsid w:val="00A531C0"/>
    <w:rsid w:val="00A56A49"/>
    <w:rsid w:val="00A56ED4"/>
    <w:rsid w:val="00A57D0F"/>
    <w:rsid w:val="00A76278"/>
    <w:rsid w:val="00A8312B"/>
    <w:rsid w:val="00A86CCA"/>
    <w:rsid w:val="00A917D1"/>
    <w:rsid w:val="00A91E59"/>
    <w:rsid w:val="00AA0A9E"/>
    <w:rsid w:val="00AB2838"/>
    <w:rsid w:val="00AD276F"/>
    <w:rsid w:val="00B15C84"/>
    <w:rsid w:val="00B16C5B"/>
    <w:rsid w:val="00B203FE"/>
    <w:rsid w:val="00B44014"/>
    <w:rsid w:val="00B50997"/>
    <w:rsid w:val="00B53650"/>
    <w:rsid w:val="00B54A86"/>
    <w:rsid w:val="00B722CF"/>
    <w:rsid w:val="00B731DD"/>
    <w:rsid w:val="00BA5181"/>
    <w:rsid w:val="00BB1B35"/>
    <w:rsid w:val="00BB2227"/>
    <w:rsid w:val="00BD19CE"/>
    <w:rsid w:val="00BD5D7E"/>
    <w:rsid w:val="00BD613B"/>
    <w:rsid w:val="00BF72F5"/>
    <w:rsid w:val="00C04961"/>
    <w:rsid w:val="00C23749"/>
    <w:rsid w:val="00C25420"/>
    <w:rsid w:val="00C2600A"/>
    <w:rsid w:val="00C430F2"/>
    <w:rsid w:val="00C4722A"/>
    <w:rsid w:val="00C54C12"/>
    <w:rsid w:val="00C56244"/>
    <w:rsid w:val="00C57543"/>
    <w:rsid w:val="00C63E44"/>
    <w:rsid w:val="00C76D80"/>
    <w:rsid w:val="00C76EF8"/>
    <w:rsid w:val="00C82B55"/>
    <w:rsid w:val="00C8317E"/>
    <w:rsid w:val="00C941F2"/>
    <w:rsid w:val="00C946ED"/>
    <w:rsid w:val="00CA78BE"/>
    <w:rsid w:val="00CB03EE"/>
    <w:rsid w:val="00CB0CDA"/>
    <w:rsid w:val="00CB6FE3"/>
    <w:rsid w:val="00CD1958"/>
    <w:rsid w:val="00CD7219"/>
    <w:rsid w:val="00CF6864"/>
    <w:rsid w:val="00D0173F"/>
    <w:rsid w:val="00D123C7"/>
    <w:rsid w:val="00D1645F"/>
    <w:rsid w:val="00D16735"/>
    <w:rsid w:val="00D212BF"/>
    <w:rsid w:val="00D2402D"/>
    <w:rsid w:val="00D26694"/>
    <w:rsid w:val="00D41E63"/>
    <w:rsid w:val="00D57942"/>
    <w:rsid w:val="00D6234D"/>
    <w:rsid w:val="00D643EB"/>
    <w:rsid w:val="00D6688F"/>
    <w:rsid w:val="00D6729B"/>
    <w:rsid w:val="00D7270A"/>
    <w:rsid w:val="00D807DA"/>
    <w:rsid w:val="00D92DE8"/>
    <w:rsid w:val="00DA0DD8"/>
    <w:rsid w:val="00DD5B56"/>
    <w:rsid w:val="00DE711A"/>
    <w:rsid w:val="00DF7722"/>
    <w:rsid w:val="00E10EE8"/>
    <w:rsid w:val="00E42C00"/>
    <w:rsid w:val="00E61B41"/>
    <w:rsid w:val="00E7663B"/>
    <w:rsid w:val="00E77F93"/>
    <w:rsid w:val="00E810E6"/>
    <w:rsid w:val="00E835C4"/>
    <w:rsid w:val="00E907E5"/>
    <w:rsid w:val="00E97587"/>
    <w:rsid w:val="00EA3029"/>
    <w:rsid w:val="00EA454A"/>
    <w:rsid w:val="00EA4E9C"/>
    <w:rsid w:val="00EB1195"/>
    <w:rsid w:val="00EB70AF"/>
    <w:rsid w:val="00EC1DEE"/>
    <w:rsid w:val="00EC5496"/>
    <w:rsid w:val="00EF2759"/>
    <w:rsid w:val="00F000F4"/>
    <w:rsid w:val="00F23CDB"/>
    <w:rsid w:val="00F2511E"/>
    <w:rsid w:val="00F26E49"/>
    <w:rsid w:val="00F326D8"/>
    <w:rsid w:val="00F57625"/>
    <w:rsid w:val="00F65FC1"/>
    <w:rsid w:val="00F70DAF"/>
    <w:rsid w:val="00FA7D18"/>
    <w:rsid w:val="00FC4CA9"/>
    <w:rsid w:val="00FF35BD"/>
    <w:rsid w:val="00FF47CD"/>
    <w:rsid w:val="00FF4A11"/>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175882192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alaciosviviani@Seasp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Ssubcontracts@seasp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6328C-1B5C-4E06-999B-BCAB81802F80}">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49B786C-3562-451A-9BF5-A8F6B1FDF5DA}">
  <ds:schemaRefs>
    <ds:schemaRef ds:uri="http://schemas.microsoft.com/sharepoint/v3/contenttype/forms"/>
  </ds:schemaRefs>
</ds:datastoreItem>
</file>

<file path=customXml/itemProps3.xml><?xml version="1.0" encoding="utf-8"?>
<ds:datastoreItem xmlns:ds="http://schemas.openxmlformats.org/officeDocument/2006/customXml" ds:itemID="{7C12390A-4888-4406-8500-7E7D56F5881B}"/>
</file>

<file path=customXml/itemProps4.xml><?xml version="1.0" encoding="utf-8"?>
<ds:datastoreItem xmlns:ds="http://schemas.openxmlformats.org/officeDocument/2006/customXml" ds:itemID="{3BE86028-82E9-481A-A844-C0BB142F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Carlos Palacios Viviani</cp:lastModifiedBy>
  <cp:revision>3</cp:revision>
  <cp:lastPrinted>2017-09-06T19:38:00Z</cp:lastPrinted>
  <dcterms:created xsi:type="dcterms:W3CDTF">2018-04-13T17:05:00Z</dcterms:created>
  <dcterms:modified xsi:type="dcterms:W3CDTF">2018-04-13T17:38:00Z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