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C097A" w14:textId="7ABD0EED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FBC097B" w14:textId="77777777" w:rsidR="00207728" w:rsidRDefault="00EC4B93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 xml:space="preserve">Life </w:t>
      </w:r>
      <w:bookmarkStart w:id="0" w:name="_GoBack"/>
      <w:r>
        <w:rPr>
          <w:rFonts w:ascii="Arial" w:eastAsia="Times New Roman" w:hAnsi="Arial" w:cs="Arial"/>
          <w:b/>
          <w:sz w:val="44"/>
          <w:szCs w:val="24"/>
        </w:rPr>
        <w:t xml:space="preserve">Cycle </w:t>
      </w:r>
      <w:bookmarkEnd w:id="0"/>
      <w:r>
        <w:rPr>
          <w:rFonts w:ascii="Arial" w:eastAsia="Times New Roman" w:hAnsi="Arial" w:cs="Arial"/>
          <w:b/>
          <w:sz w:val="44"/>
          <w:szCs w:val="24"/>
        </w:rPr>
        <w:t>Cost Report</w:t>
      </w:r>
    </w:p>
    <w:p w14:paraId="6FBC097C" w14:textId="77777777" w:rsidR="00207728" w:rsidRPr="00EE2705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EE2705">
        <w:rPr>
          <w:rFonts w:ascii="Arial" w:eastAsia="Times New Roman" w:hAnsi="Arial" w:cs="Arial"/>
          <w:b/>
          <w:sz w:val="44"/>
          <w:szCs w:val="24"/>
        </w:rPr>
        <w:t>ILS-</w:t>
      </w:r>
      <w:r w:rsidR="00EC4B93" w:rsidRPr="00EE2705">
        <w:rPr>
          <w:rFonts w:ascii="Arial" w:eastAsia="Times New Roman" w:hAnsi="Arial" w:cs="Arial"/>
          <w:b/>
          <w:sz w:val="44"/>
          <w:szCs w:val="24"/>
        </w:rPr>
        <w:t>043-01</w:t>
      </w:r>
      <w:r w:rsidR="008C551B" w:rsidRPr="00EE2705">
        <w:rPr>
          <w:rFonts w:ascii="Arial" w:eastAsia="Times New Roman" w:hAnsi="Arial" w:cs="Arial"/>
          <w:b/>
          <w:sz w:val="44"/>
          <w:szCs w:val="24"/>
        </w:rPr>
        <w:t>0</w:t>
      </w:r>
    </w:p>
    <w:p w14:paraId="6FBC097D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6FBC097E" w14:textId="1465F588" w:rsidR="00D43CDA" w:rsidRPr="00666A89" w:rsidRDefault="0012366B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FBC097F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6FBC0980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FBC0981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FBC0982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6FBC0983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6FBC0985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FBC0984" w14:textId="77777777" w:rsidR="00793183" w:rsidRPr="00310AE6" w:rsidRDefault="00793183" w:rsidP="00744FEE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6FBC098A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FBC0986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6FBC0987" w14:textId="297A3DFF" w:rsidR="00310AE6" w:rsidRPr="00310AE6" w:rsidRDefault="00310AE6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Life Cycle </w:t>
            </w:r>
            <w:r w:rsidR="0012366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Costing </w:t>
            </w: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Report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FBC0988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6FBC0989" w14:textId="77777777" w:rsidR="00310AE6" w:rsidRPr="00310AE6" w:rsidRDefault="00310AE6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AD09D4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-043-</w:t>
            </w:r>
            <w:r w:rsidR="00DD7B43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10</w:t>
            </w:r>
          </w:p>
        </w:tc>
      </w:tr>
      <w:tr w:rsidR="00310AE6" w14:paraId="6FBC098D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FBC098B" w14:textId="77777777" w:rsidR="00310AE6" w:rsidRP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6FBC098C" w14:textId="101CB174" w:rsidR="00310AE6" w:rsidRPr="00310AE6" w:rsidRDefault="008E45E7" w:rsidP="00540A0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8E45E7">
              <w:rPr>
                <w:rFonts w:ascii="Arial" w:hAnsi="Arial" w:cs="Arial"/>
                <w:sz w:val="20"/>
                <w:szCs w:val="20"/>
                <w:lang w:val="en-AU" w:eastAsia="en-AU"/>
              </w:rPr>
              <w:t>The Life Cycle Cost</w:t>
            </w:r>
            <w:r w:rsidR="00540A0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ing </w:t>
            </w:r>
            <w:r w:rsidRPr="008E45E7">
              <w:rPr>
                <w:rFonts w:ascii="Arial" w:hAnsi="Arial" w:cs="Arial"/>
                <w:sz w:val="20"/>
                <w:szCs w:val="20"/>
                <w:lang w:val="en-AU" w:eastAsia="en-AU"/>
              </w:rPr>
              <w:t>(LCC) report must describe the approach and methodology used to estimate the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8E45E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required sustainment and disposal costs elements. </w:t>
            </w:r>
            <w:r w:rsidR="0042372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8E45E7">
              <w:rPr>
                <w:rFonts w:ascii="Arial" w:hAnsi="Arial" w:cs="Arial"/>
                <w:sz w:val="20"/>
                <w:szCs w:val="20"/>
                <w:lang w:val="en-AU" w:eastAsia="en-AU"/>
              </w:rPr>
              <w:t>The report must describe the analysis conducted and provide the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8E45E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results obtained.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8E45E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Additionally, the report must </w:t>
            </w:r>
            <w:r w:rsidR="0042372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supply </w:t>
            </w:r>
            <w:r w:rsidRPr="008E45E7">
              <w:rPr>
                <w:rFonts w:ascii="Arial" w:hAnsi="Arial" w:cs="Arial"/>
                <w:sz w:val="20"/>
                <w:szCs w:val="20"/>
                <w:lang w:val="en-AU" w:eastAsia="en-AU"/>
              </w:rPr>
              <w:t>the cost breakdown, summary and the associated risk and uncertainty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8E45E7">
              <w:rPr>
                <w:rFonts w:ascii="Arial" w:hAnsi="Arial" w:cs="Arial"/>
                <w:sz w:val="20"/>
                <w:szCs w:val="20"/>
                <w:lang w:val="en-AU" w:eastAsia="en-AU"/>
              </w:rPr>
              <w:t>analysis.</w:t>
            </w:r>
          </w:p>
        </w:tc>
      </w:tr>
      <w:tr w:rsidR="00793183" w14:paraId="6FBC0991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FBC098E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6FBC098F" w14:textId="77777777" w:rsidR="00310AE6" w:rsidRPr="008E6E67" w:rsidRDefault="00310AE6" w:rsidP="000626EC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42372B">
              <w:rPr>
                <w:rFonts w:ascii="Arial" w:hAnsi="Arial" w:cs="Arial"/>
                <w:sz w:val="20"/>
                <w:szCs w:val="20"/>
                <w:lang w:val="en-AU" w:eastAsia="en-AU"/>
              </w:rPr>
              <w:t>Nil</w:t>
            </w:r>
          </w:p>
          <w:p w14:paraId="6FBC0990" w14:textId="50A37F7A" w:rsidR="00310AE6" w:rsidRPr="00310AE6" w:rsidRDefault="00310AE6" w:rsidP="009F2904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</w:t>
            </w:r>
            <w:r w:rsidR="009F290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Subcontract </w:t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>Data Requirements List and any references cited in the DID</w:t>
            </w:r>
            <w:r w:rsidR="00540A0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</w:tr>
      <w:tr w:rsidR="00793183" w14:paraId="6FBC0997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FBC0992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6FBC0993" w14:textId="77777777" w:rsidR="00310AE6" w:rsidRPr="008E6E67" w:rsidRDefault="00310AE6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6FBC0994" w14:textId="1881F705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Unless a specific template is provided by VSY, the deliverables may be prepared in </w:t>
            </w:r>
            <w:r w:rsidR="002E16DA">
              <w:rPr>
                <w:rFonts w:ascii="Arial" w:hAnsi="Arial" w:cs="Arial"/>
                <w:sz w:val="20"/>
                <w:szCs w:val="20"/>
                <w:lang w:val="en-AU" w:eastAsia="en-AU"/>
              </w:rPr>
              <w:t>Supplier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’s format upon review and approval by VSY.</w:t>
            </w:r>
          </w:p>
          <w:p w14:paraId="6FBC0995" w14:textId="77777777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6FBC0996" w14:textId="77777777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</w:tc>
      </w:tr>
      <w:tr w:rsidR="00793183" w14:paraId="6FBC09B9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FBC0998" w14:textId="77777777" w:rsidR="001F52AF" w:rsidRDefault="00310AE6" w:rsidP="0048340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6FBC0999" w14:textId="77777777" w:rsidR="001F52AF" w:rsidRPr="001F52AF" w:rsidRDefault="001F52AF" w:rsidP="0048340B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LCC Report shall be broken down into the following chapters.</w:t>
            </w:r>
          </w:p>
          <w:p w14:paraId="6FBC099A" w14:textId="77777777" w:rsidR="001F52AF" w:rsidRDefault="001F52AF" w:rsidP="0048340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Descriptions of approach and methodology used (e.g. utilization,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E32C6E"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S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ervice </w:t>
            </w:r>
            <w:r w:rsidR="00E32C6E"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S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ub-</w:t>
            </w:r>
            <w:r w:rsidR="00E32C6E"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C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ontract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[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ISSC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]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SOW)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FBC099B" w14:textId="77777777" w:rsidR="001F52AF" w:rsidRDefault="001F52AF" w:rsidP="0048340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data sources, uncertainties, assumptions and justifications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FBC099C" w14:textId="77777777" w:rsidR="001F52AF" w:rsidRDefault="001F52AF" w:rsidP="0048340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Sustainment Cost Analysis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FBC099D" w14:textId="77777777" w:rsidR="001F52AF" w:rsidRDefault="001F52AF" w:rsidP="0048340B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Disposal Cost Analysis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FBC099E" w14:textId="77777777" w:rsidR="00E32C6E" w:rsidRDefault="001F52AF" w:rsidP="0048340B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Summary o</w:t>
            </w:r>
            <w:r w:rsidR="00921C4B"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f amortized LCC per fiscal year</w:t>
            </w:r>
            <w:r w:rsidR="00E32C6E"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 </w:t>
            </w:r>
            <w:r w:rsidR="00C84DF6"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T</w:t>
            </w:r>
            <w:r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he following must be considered when developing the LCC chapters:</w:t>
            </w:r>
          </w:p>
          <w:p w14:paraId="6FBC099F" w14:textId="77777777" w:rsidR="00E32C6E" w:rsidRPr="00E32C6E" w:rsidRDefault="00E32C6E" w:rsidP="0048340B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Descriptions of approach and methodology used including the basis for calculation and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relationship between the sustainment costs and applicable </w:t>
            </w:r>
            <w:r w:rsidR="00DD6D18">
              <w:rPr>
                <w:rFonts w:ascii="Arial" w:hAnsi="Arial" w:cs="Arial"/>
                <w:sz w:val="20"/>
                <w:szCs w:val="20"/>
                <w:lang w:val="en-AU" w:eastAsia="en-AU"/>
              </w:rPr>
              <w:t>furnished information</w:t>
            </w:r>
            <w:r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(e.g. utilization, ISSC SOW);</w:t>
            </w:r>
          </w:p>
          <w:p w14:paraId="6FBC09A0" w14:textId="77777777" w:rsidR="00E32C6E" w:rsidRPr="00E32C6E" w:rsidRDefault="00E32C6E" w:rsidP="0048340B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All assumptions utilized in the calculations of the LCC cost elements estimates and uncertainties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around the LCC cost estimates;</w:t>
            </w:r>
          </w:p>
          <w:p w14:paraId="6FBC09A1" w14:textId="1A7E1E3F" w:rsidR="001F52AF" w:rsidRPr="00E32C6E" w:rsidRDefault="00E32C6E" w:rsidP="0048340B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A description of the breakdown categories of the sustainment cost estimates including, as a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540A0E">
              <w:rPr>
                <w:rFonts w:ascii="Arial" w:hAnsi="Arial" w:cs="Arial"/>
                <w:sz w:val="20"/>
                <w:szCs w:val="20"/>
                <w:lang w:val="en-AU" w:eastAsia="en-AU"/>
              </w:rPr>
              <w:t>minimum, for both i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n ISSC </w:t>
            </w:r>
            <w:r w:rsidRP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and Organic Support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:</w:t>
            </w:r>
          </w:p>
          <w:p w14:paraId="6FBC09A2" w14:textId="77777777" w:rsidR="001F52AF" w:rsidRPr="001F52AF" w:rsidRDefault="001F52AF" w:rsidP="0048340B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Management cost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FBC09A3" w14:textId="77777777" w:rsidR="001F52AF" w:rsidRPr="001F52AF" w:rsidRDefault="001F52AF" w:rsidP="0048340B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Maintenance support cost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FBC09A4" w14:textId="77777777" w:rsidR="001F52AF" w:rsidRDefault="001F52AF" w:rsidP="0048340B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Supply support cost including spares, storage and transportation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FBC09A5" w14:textId="77777777" w:rsidR="001B5543" w:rsidRPr="001B5543" w:rsidRDefault="001B5543" w:rsidP="001B5543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B5543">
              <w:rPr>
                <w:rFonts w:ascii="Arial" w:hAnsi="Arial" w:cs="Arial"/>
                <w:sz w:val="20"/>
                <w:szCs w:val="20"/>
                <w:lang w:val="en-AU" w:eastAsia="en-AU"/>
              </w:rPr>
              <w:t>Technical Data Package maintenance costs; and</w:t>
            </w:r>
          </w:p>
          <w:p w14:paraId="6FBC09A6" w14:textId="77777777" w:rsidR="001F52AF" w:rsidRPr="001F52AF" w:rsidRDefault="001F52AF" w:rsidP="0048340B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Engineering support cost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FBC09A7" w14:textId="77777777" w:rsidR="0048340B" w:rsidRPr="0048340B" w:rsidRDefault="0048340B" w:rsidP="0048340B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A description of the breakdown categories of the disposal cost estimates including, as a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minimum, the following:</w:t>
            </w:r>
          </w:p>
          <w:p w14:paraId="6FBC09A8" w14:textId="77777777" w:rsidR="0048340B" w:rsidRPr="0048340B" w:rsidRDefault="0048340B" w:rsidP="0048340B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Management and disposal certification costs;</w:t>
            </w:r>
          </w:p>
          <w:p w14:paraId="6FBC09A9" w14:textId="5C798CFC" w:rsidR="0048340B" w:rsidRPr="0048340B" w:rsidRDefault="0048340B" w:rsidP="0048340B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Removal and disposal costs of </w:t>
            </w:r>
            <w:r w:rsidR="00540A0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any </w:t>
            </w: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Controlled Goods;</w:t>
            </w:r>
          </w:p>
          <w:p w14:paraId="6FBC09AA" w14:textId="77777777" w:rsidR="0048340B" w:rsidRPr="0048340B" w:rsidRDefault="0048340B" w:rsidP="0048340B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Removal and disposal costs of hazardous material;</w:t>
            </w:r>
          </w:p>
          <w:p w14:paraId="6FBC09AB" w14:textId="77777777" w:rsidR="0048340B" w:rsidRPr="0048340B" w:rsidRDefault="0048340B" w:rsidP="0048340B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Towing costs;</w:t>
            </w:r>
          </w:p>
          <w:p w14:paraId="6FBC09AC" w14:textId="77777777" w:rsidR="0048340B" w:rsidRPr="0048340B" w:rsidRDefault="0048340B" w:rsidP="0048340B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Cutting and scrapping costs; and</w:t>
            </w:r>
          </w:p>
          <w:p w14:paraId="6FBC09AD" w14:textId="77777777" w:rsidR="001F52AF" w:rsidRPr="001F52AF" w:rsidRDefault="0048340B" w:rsidP="0048340B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Credit for scrap metal value.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1F52AF"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Removal, disposal or recycling cost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FBC09AE" w14:textId="77777777" w:rsidR="001F52AF" w:rsidRDefault="001F52AF" w:rsidP="0048340B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Special considerations for safety and hazardous material / equipment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FBC09AF" w14:textId="77777777" w:rsidR="001B5543" w:rsidRPr="00B73993" w:rsidRDefault="001B5543" w:rsidP="001B554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3993">
              <w:rPr>
                <w:rFonts w:ascii="Arial" w:hAnsi="Arial" w:cs="Arial"/>
                <w:sz w:val="20"/>
                <w:szCs w:val="20"/>
                <w:lang w:val="en-AU" w:eastAsia="en-AU"/>
              </w:rPr>
              <w:t>A description and summary of the LCC data sources utilized, describing:</w:t>
            </w:r>
          </w:p>
          <w:p w14:paraId="6FBC09B0" w14:textId="6B2C2FD7" w:rsidR="001B5543" w:rsidRPr="00B73993" w:rsidRDefault="001B5543" w:rsidP="001B5543">
            <w:pPr>
              <w:pStyle w:val="ListParagraph"/>
              <w:numPr>
                <w:ilvl w:val="2"/>
                <w:numId w:val="15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399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Why each data source is relevant and applicable to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540A0E">
              <w:rPr>
                <w:rFonts w:ascii="Arial" w:hAnsi="Arial" w:cs="Arial"/>
                <w:sz w:val="20"/>
                <w:szCs w:val="20"/>
                <w:lang w:val="en-AU" w:eastAsia="en-AU"/>
              </w:rPr>
              <w:t>Ship</w:t>
            </w:r>
            <w:r w:rsidRPr="00B73993">
              <w:rPr>
                <w:rFonts w:ascii="Arial" w:hAnsi="Arial" w:cs="Arial"/>
                <w:sz w:val="20"/>
                <w:szCs w:val="20"/>
                <w:lang w:val="en-AU" w:eastAsia="en-AU"/>
              </w:rPr>
              <w:t>; and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FBC09B1" w14:textId="77777777" w:rsidR="001B5543" w:rsidRPr="00B73993" w:rsidRDefault="001B5543" w:rsidP="001B5543">
            <w:pPr>
              <w:pStyle w:val="ListParagraph"/>
              <w:numPr>
                <w:ilvl w:val="2"/>
                <w:numId w:val="15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3993">
              <w:rPr>
                <w:rFonts w:ascii="Arial" w:hAnsi="Arial" w:cs="Arial"/>
                <w:sz w:val="20"/>
                <w:szCs w:val="20"/>
                <w:lang w:val="en-AU" w:eastAsia="en-AU"/>
              </w:rPr>
              <w:t>The known limitations inherent in the data.</w:t>
            </w:r>
          </w:p>
          <w:p w14:paraId="6FBC09B2" w14:textId="77777777" w:rsidR="001B5543" w:rsidRPr="00B73993" w:rsidRDefault="001B5543" w:rsidP="001B554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73993">
              <w:rPr>
                <w:rFonts w:ascii="Arial" w:hAnsi="Arial" w:cs="Arial"/>
                <w:sz w:val="20"/>
                <w:szCs w:val="20"/>
                <w:lang w:val="en-AU" w:eastAsia="en-AU"/>
              </w:rPr>
              <w:t>A description of the LCC cost estimates summary against a yearly expenditure as per fiscal year.</w:t>
            </w:r>
          </w:p>
          <w:p w14:paraId="6FBC09B3" w14:textId="77777777" w:rsidR="0048340B" w:rsidRPr="0048340B" w:rsidRDefault="0048340B" w:rsidP="0048340B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Each chapter of the LCC data report described above must contain the following with respect to the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uncertainty analysis:</w:t>
            </w:r>
          </w:p>
          <w:p w14:paraId="6FBC09B4" w14:textId="77777777" w:rsidR="0048340B" w:rsidRPr="0048340B" w:rsidRDefault="0048340B" w:rsidP="0048340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A description of the processes and methods utilized for execution of the uncertainty analysis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against the developed LCC cost estimates;</w:t>
            </w:r>
          </w:p>
          <w:p w14:paraId="6FBC09B5" w14:textId="77777777" w:rsidR="0048340B" w:rsidRPr="0048340B" w:rsidRDefault="0048340B" w:rsidP="0048340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Justifications of the uncertainty ranges determined for each line item of the LCC cost estimate;</w:t>
            </w:r>
          </w:p>
          <w:p w14:paraId="6FBC09B6" w14:textId="77777777" w:rsidR="0048340B" w:rsidRPr="0048340B" w:rsidRDefault="0048340B" w:rsidP="0048340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Uncertainty is to be represented by an upper percentile and lower percentile range away from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48340B">
              <w:rPr>
                <w:rFonts w:ascii="Arial" w:hAnsi="Arial" w:cs="Arial"/>
                <w:sz w:val="20"/>
                <w:szCs w:val="20"/>
                <w:lang w:val="en-AU" w:eastAsia="en-AU"/>
              </w:rPr>
              <w:t>the Contractor-provided cost estimates.</w:t>
            </w:r>
          </w:p>
          <w:p w14:paraId="6FBC09B7" w14:textId="77777777" w:rsidR="001F52AF" w:rsidRDefault="001F52AF" w:rsidP="0048340B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LCC Report shall include all information required for general understanding and shall define all special terms and acronyms used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FBC09B8" w14:textId="77777777" w:rsidR="00E32C6E" w:rsidRPr="00E32C6E" w:rsidRDefault="00E32C6E" w:rsidP="0048340B">
            <w:pPr>
              <w:spacing w:before="120" w:after="12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6FBC09BA" w14:textId="77777777" w:rsidR="00793183" w:rsidRDefault="00793183" w:rsidP="0079736A">
      <w:pPr>
        <w:spacing w:after="100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793183" w:rsidSect="00682FEF">
      <w:headerReference w:type="default" r:id="rId12"/>
      <w:footerReference w:type="default" r:id="rId13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C09BD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6FBC09BE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8406B2" w14:paraId="1FF67161" w14:textId="77777777" w:rsidTr="00135D38">
      <w:trPr>
        <w:trHeight w:val="141"/>
      </w:trPr>
      <w:tc>
        <w:tcPr>
          <w:tcW w:w="2943" w:type="dxa"/>
        </w:tcPr>
        <w:p w14:paraId="3B8A81FA" w14:textId="77777777" w:rsidR="008406B2" w:rsidRPr="00EC4367" w:rsidRDefault="008406B2" w:rsidP="00135D38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4BA92F28" w14:textId="77777777" w:rsidR="008406B2" w:rsidRPr="00EC4367" w:rsidRDefault="008406B2" w:rsidP="00135D38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3482FB7B" w14:textId="77777777" w:rsidR="008406B2" w:rsidRPr="002F7EC1" w:rsidRDefault="008406B2" w:rsidP="00135D38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3761B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3761B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8406B2" w14:paraId="06DDD0D8" w14:textId="77777777" w:rsidTr="00135D38">
      <w:trPr>
        <w:trHeight w:val="64"/>
      </w:trPr>
      <w:tc>
        <w:tcPr>
          <w:tcW w:w="2943" w:type="dxa"/>
          <w:vAlign w:val="bottom"/>
        </w:tcPr>
        <w:p w14:paraId="4C686BF5" w14:textId="77777777" w:rsidR="008406B2" w:rsidRPr="00EC4367" w:rsidRDefault="008406B2" w:rsidP="00135D38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5D02680D" w14:textId="77777777" w:rsidR="008406B2" w:rsidRPr="00DF254D" w:rsidRDefault="008406B2" w:rsidP="00135D38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405E9097" w14:textId="77777777" w:rsidR="008406B2" w:rsidRPr="00EC4367" w:rsidRDefault="008406B2" w:rsidP="00135D38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8406B2" w14:paraId="76B96446" w14:textId="77777777" w:rsidTr="00135D38">
      <w:trPr>
        <w:trHeight w:val="64"/>
      </w:trPr>
      <w:tc>
        <w:tcPr>
          <w:tcW w:w="2943" w:type="dxa"/>
          <w:vAlign w:val="bottom"/>
        </w:tcPr>
        <w:p w14:paraId="06A195BC" w14:textId="77777777" w:rsidR="008406B2" w:rsidRPr="00EC4367" w:rsidRDefault="008406B2" w:rsidP="00135D38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7FFA07AA" w14:textId="77777777" w:rsidR="008406B2" w:rsidRPr="008E15E1" w:rsidRDefault="008406B2" w:rsidP="00135D38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3604F1B4" w14:textId="77777777" w:rsidR="008406B2" w:rsidRPr="00EC4367" w:rsidRDefault="008406B2" w:rsidP="00135D38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6A4F4EC5" w14:textId="77777777" w:rsidR="002A49B6" w:rsidRPr="002A49B6" w:rsidRDefault="002A49B6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C09BB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6FBC09BC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FB7E65" w:rsidRPr="00645D79" w14:paraId="255CC629" w14:textId="77777777" w:rsidTr="00135D38">
      <w:trPr>
        <w:trHeight w:val="701"/>
      </w:trPr>
      <w:tc>
        <w:tcPr>
          <w:tcW w:w="3071" w:type="dxa"/>
        </w:tcPr>
        <w:p w14:paraId="42771EAF" w14:textId="77777777" w:rsidR="00FB7E65" w:rsidRPr="005A12D2" w:rsidRDefault="00FB7E65" w:rsidP="00135D38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32AE28A" wp14:editId="4F41CB8E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EE0E960" w14:textId="1FEF90F0" w:rsidR="001D06BE" w:rsidRDefault="00FB7E65" w:rsidP="00135D38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FB7E65">
            <w:rPr>
              <w:rFonts w:ascii="Arial" w:hAnsi="Arial" w:cs="Arial"/>
              <w:sz w:val="14"/>
              <w:szCs w:val="14"/>
              <w:lang w:val="fr-FR"/>
            </w:rPr>
            <w:t xml:space="preserve">Life Cycle </w:t>
          </w:r>
          <w:proofErr w:type="spellStart"/>
          <w:r w:rsidRPr="00FB7E65">
            <w:rPr>
              <w:rFonts w:ascii="Arial" w:hAnsi="Arial" w:cs="Arial"/>
              <w:sz w:val="14"/>
              <w:szCs w:val="14"/>
              <w:lang w:val="fr-FR"/>
            </w:rPr>
            <w:t>Cost</w:t>
          </w:r>
          <w:proofErr w:type="spellEnd"/>
          <w:r w:rsidRPr="00FB7E65">
            <w:rPr>
              <w:rFonts w:ascii="Arial" w:hAnsi="Arial" w:cs="Arial"/>
              <w:sz w:val="14"/>
              <w:szCs w:val="14"/>
              <w:lang w:val="fr-FR"/>
            </w:rPr>
            <w:t xml:space="preserve"> Report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4498114B" w14:textId="77777777" w:rsidR="00FB7E65" w:rsidRPr="001D06BE" w:rsidRDefault="00FB7E65" w:rsidP="001D06BE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456604DB" w14:textId="29C88E74" w:rsidR="00FB7E65" w:rsidRPr="00645D79" w:rsidRDefault="00FB7E65" w:rsidP="00135D38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VSY-A08.22-00</w:t>
          </w:r>
          <w:r w:rsidR="00B33630">
            <w:rPr>
              <w:rFonts w:ascii="Arial" w:hAnsi="Arial" w:cs="Arial"/>
              <w:sz w:val="14"/>
              <w:szCs w:val="14"/>
              <w:lang w:val="fr-FR"/>
            </w:rPr>
            <w:t>5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7</w:t>
          </w:r>
        </w:p>
        <w:p w14:paraId="75D51E7F" w14:textId="77777777" w:rsidR="00FB7E65" w:rsidRPr="00645D79" w:rsidRDefault="00FB7E65" w:rsidP="00135D38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0BFFDF48" w14:textId="77777777" w:rsidR="00FB7E65" w:rsidRPr="00645D79" w:rsidRDefault="00FB7E65" w:rsidP="00135D38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72258B45" w14:textId="77777777" w:rsidR="00FB7E65" w:rsidRPr="00645D79" w:rsidRDefault="00FB7E65" w:rsidP="00135D38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6FBC09C4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85E2D3D"/>
    <w:multiLevelType w:val="hybridMultilevel"/>
    <w:tmpl w:val="7C7E90DA"/>
    <w:lvl w:ilvl="0" w:tplc="1009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2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43106D8F"/>
    <w:multiLevelType w:val="hybridMultilevel"/>
    <w:tmpl w:val="9C64270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362AD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8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56340B"/>
    <w:multiLevelType w:val="hybridMultilevel"/>
    <w:tmpl w:val="794E3494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6A017FE9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B674A1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14">
    <w:nsid w:val="7BE973D6"/>
    <w:multiLevelType w:val="hybridMultilevel"/>
    <w:tmpl w:val="5E2AD61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4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626EC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E2186"/>
    <w:rsid w:val="000F2FD3"/>
    <w:rsid w:val="00102D76"/>
    <w:rsid w:val="00111DE6"/>
    <w:rsid w:val="00112ED4"/>
    <w:rsid w:val="0011531C"/>
    <w:rsid w:val="00121278"/>
    <w:rsid w:val="0012366B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921CF"/>
    <w:rsid w:val="001B5543"/>
    <w:rsid w:val="001B67D4"/>
    <w:rsid w:val="001C1EE2"/>
    <w:rsid w:val="001C260C"/>
    <w:rsid w:val="001C4487"/>
    <w:rsid w:val="001D06BE"/>
    <w:rsid w:val="001D128D"/>
    <w:rsid w:val="001E1F49"/>
    <w:rsid w:val="001F4404"/>
    <w:rsid w:val="001F52AF"/>
    <w:rsid w:val="00207728"/>
    <w:rsid w:val="00211BFB"/>
    <w:rsid w:val="00216036"/>
    <w:rsid w:val="002161F5"/>
    <w:rsid w:val="00230E3D"/>
    <w:rsid w:val="00232780"/>
    <w:rsid w:val="00232D6E"/>
    <w:rsid w:val="002512D9"/>
    <w:rsid w:val="0025368F"/>
    <w:rsid w:val="00261F06"/>
    <w:rsid w:val="00262B0E"/>
    <w:rsid w:val="0029119C"/>
    <w:rsid w:val="002A2E5E"/>
    <w:rsid w:val="002A49B6"/>
    <w:rsid w:val="002A4D78"/>
    <w:rsid w:val="002B6B3F"/>
    <w:rsid w:val="002B6C2A"/>
    <w:rsid w:val="002D00EC"/>
    <w:rsid w:val="002E0B33"/>
    <w:rsid w:val="002E16DA"/>
    <w:rsid w:val="002E2AB5"/>
    <w:rsid w:val="002E7610"/>
    <w:rsid w:val="002F71A0"/>
    <w:rsid w:val="00302803"/>
    <w:rsid w:val="00310AE6"/>
    <w:rsid w:val="00322A75"/>
    <w:rsid w:val="003301FB"/>
    <w:rsid w:val="00337C79"/>
    <w:rsid w:val="0035382F"/>
    <w:rsid w:val="0035609D"/>
    <w:rsid w:val="003631A9"/>
    <w:rsid w:val="00366352"/>
    <w:rsid w:val="003761B5"/>
    <w:rsid w:val="00380010"/>
    <w:rsid w:val="00382231"/>
    <w:rsid w:val="00382B4F"/>
    <w:rsid w:val="003851BF"/>
    <w:rsid w:val="00394158"/>
    <w:rsid w:val="003A55E7"/>
    <w:rsid w:val="003B36D8"/>
    <w:rsid w:val="003B6A0C"/>
    <w:rsid w:val="003E4CFB"/>
    <w:rsid w:val="00400CED"/>
    <w:rsid w:val="00403C2C"/>
    <w:rsid w:val="00407AF8"/>
    <w:rsid w:val="00416AEF"/>
    <w:rsid w:val="0042372B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40B"/>
    <w:rsid w:val="00483924"/>
    <w:rsid w:val="004967AB"/>
    <w:rsid w:val="004A523F"/>
    <w:rsid w:val="004B6227"/>
    <w:rsid w:val="004C1825"/>
    <w:rsid w:val="004D24B5"/>
    <w:rsid w:val="004E1488"/>
    <w:rsid w:val="004E36F9"/>
    <w:rsid w:val="004F40E3"/>
    <w:rsid w:val="004F45A7"/>
    <w:rsid w:val="004F5030"/>
    <w:rsid w:val="004F50EE"/>
    <w:rsid w:val="005106FA"/>
    <w:rsid w:val="005153F9"/>
    <w:rsid w:val="005169F4"/>
    <w:rsid w:val="00520F40"/>
    <w:rsid w:val="00540A0E"/>
    <w:rsid w:val="005438B1"/>
    <w:rsid w:val="0054497D"/>
    <w:rsid w:val="0054691B"/>
    <w:rsid w:val="0055010F"/>
    <w:rsid w:val="005619ED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01921"/>
    <w:rsid w:val="00613793"/>
    <w:rsid w:val="00613DDE"/>
    <w:rsid w:val="00623ED6"/>
    <w:rsid w:val="006415A8"/>
    <w:rsid w:val="0066152F"/>
    <w:rsid w:val="00670C62"/>
    <w:rsid w:val="00682FEF"/>
    <w:rsid w:val="00687F15"/>
    <w:rsid w:val="00694308"/>
    <w:rsid w:val="006A01D9"/>
    <w:rsid w:val="006A6B66"/>
    <w:rsid w:val="006B3D22"/>
    <w:rsid w:val="006D1695"/>
    <w:rsid w:val="006D5DB5"/>
    <w:rsid w:val="006D6717"/>
    <w:rsid w:val="006F3A36"/>
    <w:rsid w:val="007010C3"/>
    <w:rsid w:val="007162A2"/>
    <w:rsid w:val="00726873"/>
    <w:rsid w:val="00730E3C"/>
    <w:rsid w:val="007349F0"/>
    <w:rsid w:val="00735A93"/>
    <w:rsid w:val="00736696"/>
    <w:rsid w:val="00744FEE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C3749"/>
    <w:rsid w:val="007E42C9"/>
    <w:rsid w:val="007F039A"/>
    <w:rsid w:val="007F4F1B"/>
    <w:rsid w:val="0080364B"/>
    <w:rsid w:val="0080422F"/>
    <w:rsid w:val="008044FB"/>
    <w:rsid w:val="00812B59"/>
    <w:rsid w:val="00814959"/>
    <w:rsid w:val="00815312"/>
    <w:rsid w:val="00827ED1"/>
    <w:rsid w:val="0083547C"/>
    <w:rsid w:val="00836982"/>
    <w:rsid w:val="00836CD2"/>
    <w:rsid w:val="008406B2"/>
    <w:rsid w:val="0084415D"/>
    <w:rsid w:val="00854661"/>
    <w:rsid w:val="00865CA6"/>
    <w:rsid w:val="00871BDA"/>
    <w:rsid w:val="0087597D"/>
    <w:rsid w:val="00880304"/>
    <w:rsid w:val="00886E79"/>
    <w:rsid w:val="00894452"/>
    <w:rsid w:val="008A60C3"/>
    <w:rsid w:val="008C551B"/>
    <w:rsid w:val="008E45E7"/>
    <w:rsid w:val="008E6E67"/>
    <w:rsid w:val="00911C4C"/>
    <w:rsid w:val="00921C4B"/>
    <w:rsid w:val="00926D26"/>
    <w:rsid w:val="009275C9"/>
    <w:rsid w:val="0094003C"/>
    <w:rsid w:val="0095032B"/>
    <w:rsid w:val="009524D3"/>
    <w:rsid w:val="00961355"/>
    <w:rsid w:val="00974D8D"/>
    <w:rsid w:val="00980176"/>
    <w:rsid w:val="009B07F3"/>
    <w:rsid w:val="009B4100"/>
    <w:rsid w:val="009C3C10"/>
    <w:rsid w:val="009C74B7"/>
    <w:rsid w:val="009D40F3"/>
    <w:rsid w:val="009E6411"/>
    <w:rsid w:val="009F09F6"/>
    <w:rsid w:val="009F124D"/>
    <w:rsid w:val="009F2904"/>
    <w:rsid w:val="009F7708"/>
    <w:rsid w:val="00A047A9"/>
    <w:rsid w:val="00A0732A"/>
    <w:rsid w:val="00A13FF2"/>
    <w:rsid w:val="00A17B48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D09D4"/>
    <w:rsid w:val="00AD2551"/>
    <w:rsid w:val="00AE21B8"/>
    <w:rsid w:val="00AE3D19"/>
    <w:rsid w:val="00AF76AC"/>
    <w:rsid w:val="00B15C84"/>
    <w:rsid w:val="00B203FE"/>
    <w:rsid w:val="00B33630"/>
    <w:rsid w:val="00B44014"/>
    <w:rsid w:val="00B50997"/>
    <w:rsid w:val="00B53650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67175"/>
    <w:rsid w:val="00C76D80"/>
    <w:rsid w:val="00C82B55"/>
    <w:rsid w:val="00C8317E"/>
    <w:rsid w:val="00C84DF6"/>
    <w:rsid w:val="00C941F2"/>
    <w:rsid w:val="00C946ED"/>
    <w:rsid w:val="00C956C2"/>
    <w:rsid w:val="00CA1EFA"/>
    <w:rsid w:val="00CA78BE"/>
    <w:rsid w:val="00CB03EE"/>
    <w:rsid w:val="00CB6FE3"/>
    <w:rsid w:val="00CD7219"/>
    <w:rsid w:val="00CE2BC4"/>
    <w:rsid w:val="00D0173F"/>
    <w:rsid w:val="00D123C7"/>
    <w:rsid w:val="00D1645F"/>
    <w:rsid w:val="00D16735"/>
    <w:rsid w:val="00D212BF"/>
    <w:rsid w:val="00D22973"/>
    <w:rsid w:val="00D2402D"/>
    <w:rsid w:val="00D26694"/>
    <w:rsid w:val="00D41E63"/>
    <w:rsid w:val="00D43CDA"/>
    <w:rsid w:val="00D6234D"/>
    <w:rsid w:val="00D643EB"/>
    <w:rsid w:val="00D6688F"/>
    <w:rsid w:val="00D6729B"/>
    <w:rsid w:val="00D70925"/>
    <w:rsid w:val="00D807DA"/>
    <w:rsid w:val="00D87A73"/>
    <w:rsid w:val="00D92DE8"/>
    <w:rsid w:val="00DA0DD8"/>
    <w:rsid w:val="00DB28A3"/>
    <w:rsid w:val="00DD3E50"/>
    <w:rsid w:val="00DD5B56"/>
    <w:rsid w:val="00DD6D18"/>
    <w:rsid w:val="00DD7B43"/>
    <w:rsid w:val="00DE711A"/>
    <w:rsid w:val="00DF7722"/>
    <w:rsid w:val="00E10EE8"/>
    <w:rsid w:val="00E32C6E"/>
    <w:rsid w:val="00E55998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43A9"/>
    <w:rsid w:val="00EC164B"/>
    <w:rsid w:val="00EC4B93"/>
    <w:rsid w:val="00EC5496"/>
    <w:rsid w:val="00ED1688"/>
    <w:rsid w:val="00EE2705"/>
    <w:rsid w:val="00EE4B17"/>
    <w:rsid w:val="00EF2759"/>
    <w:rsid w:val="00F000F4"/>
    <w:rsid w:val="00F23CDB"/>
    <w:rsid w:val="00F25935"/>
    <w:rsid w:val="00F26E49"/>
    <w:rsid w:val="00F326D8"/>
    <w:rsid w:val="00F57625"/>
    <w:rsid w:val="00F65FC1"/>
    <w:rsid w:val="00F70DAF"/>
    <w:rsid w:val="00F71276"/>
    <w:rsid w:val="00FA7D18"/>
    <w:rsid w:val="00FB7E65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FBC0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D9F6B-89DF-4439-983A-3FD861164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1C9CC-4580-41AC-97DC-E3CBC4E69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22B463-992E-4657-8981-FF2E97D5EA6A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23D6AE-0B98-433D-8556-1F65C3A4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15</cp:revision>
  <cp:lastPrinted>2016-06-11T18:53:00Z</cp:lastPrinted>
  <dcterms:created xsi:type="dcterms:W3CDTF">2018-01-30T21:04:00Z</dcterms:created>
  <dcterms:modified xsi:type="dcterms:W3CDTF">2018-06-05T23:06:00Z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