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77C50" w14:textId="77777777" w:rsidR="00325247" w:rsidRDefault="00325247" w:rsidP="001C5D5E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1477C51" w14:textId="77777777" w:rsidR="00207728" w:rsidRPr="008C4D90" w:rsidRDefault="00207728" w:rsidP="001C5D5E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1477C52" w14:textId="77777777" w:rsidR="00207728" w:rsidRPr="008C4D90" w:rsidRDefault="00974547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Ambiguities, Inconsistencies and Conflicts Advice</w:t>
      </w:r>
    </w:p>
    <w:p w14:paraId="11477C53" w14:textId="77777777" w:rsidR="00207728" w:rsidRPr="008C4D90" w:rsidRDefault="00974547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PM203</w:t>
      </w:r>
    </w:p>
    <w:p w14:paraId="11477C54" w14:textId="77777777" w:rsidR="00207728" w:rsidRPr="008C4D90" w:rsidRDefault="00207728" w:rsidP="004E33F2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1477C55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11477C56" w14:textId="4A8EB74F" w:rsidR="00207728" w:rsidRPr="008C4D90" w:rsidRDefault="00ED2FFA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1477C57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1477C58" w14:textId="77777777" w:rsidR="00207728" w:rsidRPr="008C4D90" w:rsidRDefault="00207728" w:rsidP="00A14FD9">
      <w:pPr>
        <w:spacing w:after="0" w:line="240" w:lineRule="auto"/>
        <w:ind w:left="1418" w:hanging="28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1477C59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1477C5A" w14:textId="7B607CC3" w:rsidR="00974547" w:rsidRPr="00325247" w:rsidRDefault="00207728" w:rsidP="00325247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C7383A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935602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11477C5B" w14:textId="77777777" w:rsidR="001C5D5E" w:rsidRDefault="001C5D5E">
      <w:r>
        <w:br w:type="page"/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974547" w14:paraId="11477C5E" w14:textId="77777777" w:rsidTr="00935602">
        <w:tc>
          <w:tcPr>
            <w:tcW w:w="6238" w:type="dxa"/>
          </w:tcPr>
          <w:p w14:paraId="11477C5C" w14:textId="77777777" w:rsidR="00974547" w:rsidRPr="00961355" w:rsidRDefault="00974547" w:rsidP="00935602">
            <w:pPr>
              <w:spacing w:before="240" w:after="240" w:line="240" w:lineRule="atLeast"/>
              <w:ind w:right="-2092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4578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Ambiguit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ies, Inconsistencies and Conflic</w:t>
            </w:r>
            <w:r w:rsidRPr="00A4578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ts Advice</w:t>
            </w:r>
          </w:p>
        </w:tc>
        <w:tc>
          <w:tcPr>
            <w:tcW w:w="3402" w:type="dxa"/>
          </w:tcPr>
          <w:p w14:paraId="11477C5D" w14:textId="77777777" w:rsidR="00974547" w:rsidRPr="00961355" w:rsidRDefault="00974547" w:rsidP="00935602">
            <w:pPr>
              <w:spacing w:before="240" w:after="240" w:line="240" w:lineRule="atLeast"/>
              <w:ind w:right="-108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PM203</w:t>
            </w:r>
          </w:p>
        </w:tc>
      </w:tr>
    </w:tbl>
    <w:p w14:paraId="11477C5F" w14:textId="77777777" w:rsidR="00974547" w:rsidRPr="00BB1B35" w:rsidRDefault="00974547" w:rsidP="004E33F2">
      <w:pPr>
        <w:spacing w:after="120" w:line="240" w:lineRule="atLeast"/>
        <w:ind w:right="-136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1477C60" w14:textId="5E2DEB0C" w:rsidR="00974547" w:rsidRPr="00A45783" w:rsidRDefault="00974547" w:rsidP="004E33F2">
      <w:pPr>
        <w:spacing w:after="120" w:line="240" w:lineRule="atLeast"/>
        <w:ind w:right="-13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The Ambiguities, Inconsistencies or Conflicts Advice is intended to make the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>Purchaser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aware of any ambiguities, inconsistencies or conflicts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>within, between or among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one or more 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provisions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>of the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Subcontract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 xml:space="preserve">Documents </w:t>
      </w:r>
      <w:r>
        <w:rPr>
          <w:rFonts w:ascii="Arial" w:eastAsia="Times New Roman" w:hAnsi="Arial" w:cs="Arial"/>
          <w:sz w:val="16"/>
          <w:szCs w:val="16"/>
          <w:lang w:val="en-GB"/>
        </w:rPr>
        <w:t>that a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>ffect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>s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the performance of the Work.</w:t>
      </w:r>
    </w:p>
    <w:p w14:paraId="11477C61" w14:textId="77777777" w:rsidR="00974547" w:rsidRPr="002512D9" w:rsidRDefault="00974547" w:rsidP="004E33F2">
      <w:pPr>
        <w:spacing w:after="120" w:line="240" w:lineRule="atLeast"/>
        <w:ind w:right="-136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1477C62" w14:textId="77777777" w:rsidR="00974547" w:rsidRPr="002512D9" w:rsidRDefault="00974547" w:rsidP="004E33F2">
      <w:pPr>
        <w:spacing w:after="120" w:line="240" w:lineRule="atLeast"/>
        <w:ind w:right="-13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11477C63" w14:textId="77777777" w:rsidR="00974547" w:rsidRPr="002512D9" w:rsidRDefault="00974547" w:rsidP="004E33F2">
      <w:pPr>
        <w:spacing w:after="120" w:line="240" w:lineRule="atLeast"/>
        <w:ind w:right="-136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11477C64" w14:textId="344628F1" w:rsidR="00974547" w:rsidRPr="00CB03EE" w:rsidRDefault="00974547" w:rsidP="004E33F2">
      <w:pPr>
        <w:spacing w:after="120" w:line="240" w:lineRule="atLeast"/>
        <w:ind w:right="-136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 w:rsidR="004E33F2"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(INTRO) and Part 2 (PM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11477C65" w14:textId="77777777" w:rsidR="00974547" w:rsidRPr="002512D9" w:rsidRDefault="00974547" w:rsidP="004E33F2">
      <w:pPr>
        <w:spacing w:after="120" w:line="240" w:lineRule="atLeast"/>
        <w:ind w:right="-136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1477C66" w14:textId="77777777" w:rsidR="00974547" w:rsidRPr="00A45783" w:rsidRDefault="00974547" w:rsidP="004E33F2">
      <w:pPr>
        <w:spacing w:after="120" w:line="240" w:lineRule="atLeast"/>
        <w:ind w:right="-13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45783">
        <w:rPr>
          <w:rFonts w:ascii="Arial" w:eastAsia="Times New Roman" w:hAnsi="Arial" w:cs="Arial"/>
          <w:sz w:val="16"/>
          <w:szCs w:val="16"/>
          <w:lang w:val="en-GB"/>
        </w:rPr>
        <w:t>The Ambiguities, Inconsistencies or Conflicts Advice shall be prepared in the following format and contain the following information:</w:t>
      </w:r>
    </w:p>
    <w:p w14:paraId="11477C67" w14:textId="77777777" w:rsidR="00974547" w:rsidRPr="00A45783" w:rsidRDefault="00974547" w:rsidP="004E33F2">
      <w:pPr>
        <w:pStyle w:val="ListParagraph"/>
        <w:numPr>
          <w:ilvl w:val="0"/>
          <w:numId w:val="50"/>
        </w:numPr>
        <w:spacing w:after="120" w:line="240" w:lineRule="atLeast"/>
        <w:ind w:left="567" w:right="-136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45783">
        <w:rPr>
          <w:rFonts w:ascii="Arial" w:eastAsia="Times New Roman" w:hAnsi="Arial" w:cs="Arial"/>
          <w:sz w:val="16"/>
          <w:szCs w:val="16"/>
          <w:lang w:val="en-GB"/>
        </w:rPr>
        <w:t>Ambiguities, Inconsistencies or Conflicts</w:t>
      </w:r>
    </w:p>
    <w:p w14:paraId="11477C68" w14:textId="51440452" w:rsidR="00974547" w:rsidRDefault="00974547" w:rsidP="004E33F2">
      <w:pPr>
        <w:spacing w:after="120" w:line="240" w:lineRule="atLeast"/>
        <w:ind w:left="567" w:right="-13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This section shall list the various provisions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 xml:space="preserve">within, 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between and/or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>among the Subcontract D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>ocuments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 xml:space="preserve"> considered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to be either ambiguous</w:t>
      </w:r>
      <w:r w:rsidR="00C23578">
        <w:rPr>
          <w:rFonts w:ascii="Arial" w:eastAsia="Times New Roman" w:hAnsi="Arial" w:cs="Arial"/>
          <w:sz w:val="16"/>
          <w:szCs w:val="16"/>
          <w:lang w:val="en-GB"/>
        </w:rPr>
        <w:t xml:space="preserve">, inconsistent or in conflict.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>The section shall quote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the putative provisions 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in full using </w:t>
      </w:r>
      <w:r w:rsidRPr="00A45783">
        <w:rPr>
          <w:rFonts w:ascii="Arial" w:eastAsia="Times New Roman" w:hAnsi="Arial" w:cs="Arial"/>
          <w:sz w:val="16"/>
          <w:szCs w:val="16"/>
          <w:u w:val="single"/>
          <w:lang w:val="en-GB"/>
        </w:rPr>
        <w:t>underlining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to show </w:t>
      </w:r>
      <w:proofErr w:type="gramStart"/>
      <w:r w:rsidRPr="00A45783">
        <w:rPr>
          <w:rFonts w:ascii="Arial" w:eastAsia="Times New Roman" w:hAnsi="Arial" w:cs="Arial"/>
          <w:sz w:val="16"/>
          <w:szCs w:val="16"/>
          <w:lang w:val="en-GB"/>
        </w:rPr>
        <w:t>the</w:t>
      </w:r>
      <w:proofErr w:type="gramEnd"/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alleged ambiguities, inconsistencies or conflict.</w:t>
      </w:r>
    </w:p>
    <w:p w14:paraId="11477C69" w14:textId="77777777" w:rsidR="00974547" w:rsidRPr="00A45783" w:rsidRDefault="00974547" w:rsidP="004E33F2">
      <w:pPr>
        <w:spacing w:after="120" w:line="240" w:lineRule="atLeast"/>
        <w:ind w:left="567" w:right="-136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2</w:t>
      </w:r>
      <w:r>
        <w:rPr>
          <w:rFonts w:ascii="Arial" w:eastAsia="Times New Roman" w:hAnsi="Arial" w:cs="Arial"/>
          <w:sz w:val="16"/>
          <w:szCs w:val="16"/>
          <w:lang w:val="en-GB"/>
        </w:rPr>
        <w:tab/>
        <w:t>E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ffect </w:t>
      </w:r>
      <w:proofErr w:type="gramStart"/>
      <w:r w:rsidRPr="00A45783">
        <w:rPr>
          <w:rFonts w:ascii="Arial" w:eastAsia="Times New Roman" w:hAnsi="Arial" w:cs="Arial"/>
          <w:sz w:val="16"/>
          <w:szCs w:val="16"/>
          <w:lang w:val="en-GB"/>
        </w:rPr>
        <w:t>Upon</w:t>
      </w:r>
      <w:proofErr w:type="gramEnd"/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the Work</w:t>
      </w:r>
    </w:p>
    <w:p w14:paraId="11477C6A" w14:textId="77777777" w:rsidR="00974547" w:rsidRDefault="00974547" w:rsidP="004E33F2">
      <w:pPr>
        <w:spacing w:after="120" w:line="240" w:lineRule="atLeast"/>
        <w:ind w:left="567" w:right="-13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45783">
        <w:rPr>
          <w:rFonts w:ascii="Arial" w:eastAsia="Times New Roman" w:hAnsi="Arial" w:cs="Arial"/>
          <w:sz w:val="16"/>
          <w:szCs w:val="16"/>
          <w:lang w:val="en-GB"/>
        </w:rPr>
        <w:t>This section shall describe in a narrative manner the effect the identified ambiguous, inconsistent or conflicting provisions have upon the Work and the Supplier’s obligations under the Subcontract.</w:t>
      </w:r>
    </w:p>
    <w:p w14:paraId="11477C6B" w14:textId="25B8811A" w:rsidR="00974547" w:rsidRPr="00A45783" w:rsidRDefault="00974547" w:rsidP="004E33F2">
      <w:pPr>
        <w:spacing w:after="120" w:line="240" w:lineRule="atLeast"/>
        <w:ind w:left="567" w:right="-136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3</w:t>
      </w:r>
      <w:r>
        <w:rPr>
          <w:rFonts w:ascii="Arial" w:eastAsia="Times New Roman" w:hAnsi="Arial" w:cs="Arial"/>
          <w:sz w:val="16"/>
          <w:szCs w:val="16"/>
          <w:lang w:val="en-GB"/>
        </w:rPr>
        <w:tab/>
        <w:t xml:space="preserve">Effect on the Supplier’s </w:t>
      </w:r>
      <w:r w:rsidRPr="00A63AA2">
        <w:rPr>
          <w:rFonts w:ascii="Arial" w:eastAsia="Times New Roman" w:hAnsi="Arial" w:cs="Arial"/>
          <w:sz w:val="16"/>
          <w:szCs w:val="16"/>
          <w:lang w:val="en-GB"/>
        </w:rPr>
        <w:t>Level 0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 xml:space="preserve"> Schedule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 xml:space="preserve"> and SMS</w:t>
      </w:r>
    </w:p>
    <w:p w14:paraId="11477C6C" w14:textId="0A71E379" w:rsidR="00974547" w:rsidRDefault="00974547" w:rsidP="004E33F2">
      <w:pPr>
        <w:spacing w:after="120" w:line="240" w:lineRule="atLeast"/>
        <w:ind w:left="567" w:right="-13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63AA2">
        <w:rPr>
          <w:rFonts w:ascii="Arial" w:eastAsia="Times New Roman" w:hAnsi="Arial" w:cs="Arial"/>
          <w:sz w:val="16"/>
          <w:szCs w:val="16"/>
          <w:lang w:val="en-GB"/>
        </w:rPr>
        <w:t>This section shall describe in a narrative manner the effect the identified ambiguous, inconsistent or conflicting provisions have upon the Supplier’s Level 0 Schedule and Supplier’s Master Schedule (</w:t>
      </w:r>
      <w:r w:rsidRPr="00A63AA2">
        <w:rPr>
          <w:rFonts w:ascii="Arial" w:eastAsia="Times New Roman" w:hAnsi="Arial" w:cs="Arial"/>
          <w:b/>
          <w:i/>
          <w:sz w:val="16"/>
          <w:szCs w:val="16"/>
          <w:lang w:val="en-GB"/>
        </w:rPr>
        <w:t>SMS</w:t>
      </w:r>
      <w:r w:rsidRPr="00A63AA2">
        <w:rPr>
          <w:rFonts w:ascii="Arial" w:eastAsia="Times New Roman" w:hAnsi="Arial" w:cs="Arial"/>
          <w:sz w:val="16"/>
          <w:szCs w:val="16"/>
          <w:lang w:val="en-GB"/>
        </w:rPr>
        <w:t>)</w:t>
      </w:r>
      <w:r w:rsidR="00581C65" w:rsidRPr="00A63AA2">
        <w:rPr>
          <w:rFonts w:ascii="Arial" w:eastAsia="Times New Roman" w:hAnsi="Arial" w:cs="Arial"/>
          <w:sz w:val="16"/>
          <w:szCs w:val="16"/>
          <w:lang w:val="en-GB"/>
        </w:rPr>
        <w:t>, as applicable</w:t>
      </w:r>
      <w:r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11477C6D" w14:textId="6A1DB9D2" w:rsidR="00974547" w:rsidRPr="00A45783" w:rsidRDefault="00974547" w:rsidP="004E33F2">
      <w:pPr>
        <w:spacing w:after="120" w:line="240" w:lineRule="atLeast"/>
        <w:ind w:left="567" w:right="-136" w:hanging="567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4</w:t>
      </w:r>
      <w:r>
        <w:rPr>
          <w:rFonts w:ascii="Arial" w:eastAsia="Times New Roman" w:hAnsi="Arial" w:cs="Arial"/>
          <w:sz w:val="16"/>
          <w:szCs w:val="16"/>
          <w:lang w:val="en-GB"/>
        </w:rPr>
        <w:tab/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>Effect on the Price</w:t>
      </w:r>
      <w:r>
        <w:rPr>
          <w:rFonts w:ascii="Arial" w:eastAsia="Times New Roman" w:hAnsi="Arial" w:cs="Arial"/>
          <w:sz w:val="16"/>
          <w:szCs w:val="16"/>
          <w:lang w:val="en-GB"/>
        </w:rPr>
        <w:t>, O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>ptions or Irrevocable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Offers</w:t>
      </w:r>
    </w:p>
    <w:p w14:paraId="11477C6F" w14:textId="52A83843" w:rsidR="00207728" w:rsidRPr="004E33F2" w:rsidRDefault="00974547" w:rsidP="004E33F2">
      <w:pPr>
        <w:spacing w:after="120" w:line="240" w:lineRule="atLeast"/>
        <w:ind w:left="567" w:right="-136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A45783">
        <w:rPr>
          <w:rFonts w:ascii="Arial" w:eastAsia="Times New Roman" w:hAnsi="Arial" w:cs="Arial"/>
          <w:sz w:val="16"/>
          <w:szCs w:val="16"/>
          <w:lang w:val="en-GB"/>
        </w:rPr>
        <w:t>This section shall describe in a narrative manner the effect the identified ambiguous, inconsistent or conflicting provisions have upon the Price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, Options or </w:t>
      </w:r>
      <w:r w:rsidR="004E33F2">
        <w:rPr>
          <w:rFonts w:ascii="Arial" w:eastAsia="Times New Roman" w:hAnsi="Arial" w:cs="Arial"/>
          <w:sz w:val="16"/>
          <w:szCs w:val="16"/>
          <w:lang w:val="en-GB"/>
        </w:rPr>
        <w:t>Irrevocable Offers</w:t>
      </w:r>
      <w:r w:rsidRPr="00A45783">
        <w:rPr>
          <w:rFonts w:ascii="Arial" w:eastAsia="Times New Roman" w:hAnsi="Arial" w:cs="Arial"/>
          <w:sz w:val="16"/>
          <w:szCs w:val="16"/>
          <w:lang w:val="en-GB"/>
        </w:rPr>
        <w:t>.</w:t>
      </w:r>
    </w:p>
    <w:sectPr w:rsidR="00207728" w:rsidRPr="004E33F2" w:rsidSect="009356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77C72" w14:textId="77777777" w:rsidR="004E09C1" w:rsidRDefault="004E09C1" w:rsidP="0095032B">
      <w:pPr>
        <w:spacing w:after="0" w:line="240" w:lineRule="auto"/>
      </w:pPr>
      <w:r>
        <w:separator/>
      </w:r>
    </w:p>
  </w:endnote>
  <w:endnote w:type="continuationSeparator" w:id="0">
    <w:p w14:paraId="11477C73" w14:textId="77777777" w:rsidR="004E09C1" w:rsidRDefault="004E09C1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9A35" w14:textId="77777777" w:rsidR="005B4B26" w:rsidRDefault="005B4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F01088" w14:paraId="50D0030A" w14:textId="77777777" w:rsidTr="00A946FF">
      <w:trPr>
        <w:trHeight w:val="141"/>
      </w:trPr>
      <w:tc>
        <w:tcPr>
          <w:tcW w:w="2943" w:type="dxa"/>
        </w:tcPr>
        <w:p w14:paraId="7925E9F2" w14:textId="77777777" w:rsidR="00F01088" w:rsidRPr="00EC4367" w:rsidRDefault="00F01088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E8CD915" w14:textId="77777777" w:rsidR="00F01088" w:rsidRPr="00EC4367" w:rsidRDefault="00F01088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3C70DCB6" w14:textId="77777777" w:rsidR="00F01088" w:rsidRPr="002F7EC1" w:rsidRDefault="00F01088" w:rsidP="00AD1F96">
              <w:pPr>
                <w:ind w:right="-35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5B4B26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F01088" w14:paraId="2B5987CF" w14:textId="77777777" w:rsidTr="00A946FF">
      <w:trPr>
        <w:trHeight w:val="64"/>
      </w:trPr>
      <w:tc>
        <w:tcPr>
          <w:tcW w:w="2943" w:type="dxa"/>
          <w:vAlign w:val="bottom"/>
        </w:tcPr>
        <w:p w14:paraId="57117710" w14:textId="77777777" w:rsidR="00F01088" w:rsidRPr="00EC4367" w:rsidRDefault="00F01088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5411983F" w14:textId="113A143E" w:rsidR="00F01088" w:rsidRPr="00DF254D" w:rsidRDefault="004E33F2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F01088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420A9742" w14:textId="77777777" w:rsidR="00F01088" w:rsidRPr="00EC4367" w:rsidRDefault="00F01088" w:rsidP="00AD1F96">
          <w:pPr>
            <w:pStyle w:val="Footer"/>
            <w:ind w:right="-35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F01088" w14:paraId="4AF72F90" w14:textId="77777777" w:rsidTr="00A946FF">
      <w:trPr>
        <w:trHeight w:val="64"/>
      </w:trPr>
      <w:tc>
        <w:tcPr>
          <w:tcW w:w="2943" w:type="dxa"/>
          <w:vAlign w:val="bottom"/>
        </w:tcPr>
        <w:p w14:paraId="24BBD8F5" w14:textId="77777777" w:rsidR="00F01088" w:rsidRPr="00EC4367" w:rsidRDefault="00F01088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557EF0CA" w14:textId="77777777" w:rsidR="00F01088" w:rsidRPr="008E15E1" w:rsidRDefault="00F01088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1E861A9" w14:textId="77777777" w:rsidR="00F01088" w:rsidRPr="00EC4367" w:rsidRDefault="00F01088" w:rsidP="00AD1F96">
          <w:pPr>
            <w:pStyle w:val="Footer"/>
            <w:ind w:right="-35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11477C8F" w14:textId="77777777" w:rsidR="00721802" w:rsidRPr="00F01088" w:rsidRDefault="00721802" w:rsidP="00F0108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01F1C" w:rsidRPr="00601F1C" w14:paraId="11477CA0" w14:textId="77777777" w:rsidTr="003613D4">
      <w:tc>
        <w:tcPr>
          <w:tcW w:w="3192" w:type="dxa"/>
        </w:tcPr>
        <w:p w14:paraId="11477C9D" w14:textId="77777777" w:rsidR="00601F1C" w:rsidRPr="00601F1C" w:rsidRDefault="00601F1C" w:rsidP="00601F1C">
          <w:pPr>
            <w:tabs>
              <w:tab w:val="center" w:pos="4680"/>
              <w:tab w:val="right" w:pos="9360"/>
            </w:tabs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11477C9E" w14:textId="77777777" w:rsidR="00601F1C" w:rsidRPr="00601F1C" w:rsidRDefault="00601F1C" w:rsidP="00601F1C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601F1C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11477C9F" w14:textId="77777777" w:rsidR="00601F1C" w:rsidRPr="00601F1C" w:rsidRDefault="00601F1C" w:rsidP="00601F1C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35602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35602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601F1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601F1C" w:rsidRPr="00601F1C" w14:paraId="11477CA4" w14:textId="77777777" w:rsidTr="003613D4">
      <w:tc>
        <w:tcPr>
          <w:tcW w:w="3192" w:type="dxa"/>
        </w:tcPr>
        <w:p w14:paraId="11477CA1" w14:textId="77777777" w:rsidR="00601F1C" w:rsidRPr="00601F1C" w:rsidRDefault="00601F1C" w:rsidP="00601F1C">
          <w:pPr>
            <w:tabs>
              <w:tab w:val="center" w:pos="4680"/>
              <w:tab w:val="right" w:pos="9360"/>
            </w:tabs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601F1C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A63AA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</w:tcPr>
        <w:p w14:paraId="11477CA2" w14:textId="77777777" w:rsidR="00601F1C" w:rsidRPr="00601F1C" w:rsidRDefault="00601F1C" w:rsidP="00601F1C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601F1C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11477CA3" w14:textId="77777777" w:rsidR="00601F1C" w:rsidRPr="00601F1C" w:rsidRDefault="00601F1C" w:rsidP="00601F1C">
          <w:pPr>
            <w:tabs>
              <w:tab w:val="center" w:pos="4680"/>
              <w:tab w:val="right" w:pos="9360"/>
            </w:tabs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601F1C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A63AA2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  <w:tr w:rsidR="00601F1C" w:rsidRPr="00601F1C" w14:paraId="11477CA8" w14:textId="77777777" w:rsidTr="003613D4">
      <w:trPr>
        <w:trHeight w:val="64"/>
      </w:trPr>
      <w:tc>
        <w:tcPr>
          <w:tcW w:w="3192" w:type="dxa"/>
        </w:tcPr>
        <w:p w14:paraId="11477CA5" w14:textId="77777777" w:rsidR="00601F1C" w:rsidRPr="00601F1C" w:rsidRDefault="00601F1C" w:rsidP="00601F1C">
          <w:pPr>
            <w:tabs>
              <w:tab w:val="center" w:pos="4680"/>
              <w:tab w:val="right" w:pos="9360"/>
            </w:tabs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11477CA6" w14:textId="77777777" w:rsidR="00601F1C" w:rsidRPr="00601F1C" w:rsidRDefault="00601F1C" w:rsidP="00601F1C">
          <w:pPr>
            <w:tabs>
              <w:tab w:val="center" w:pos="4680"/>
              <w:tab w:val="right" w:pos="9360"/>
            </w:tabs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 w:rsidRPr="00601F1C"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11477CA7" w14:textId="77777777" w:rsidR="00601F1C" w:rsidRPr="00601F1C" w:rsidRDefault="00601F1C" w:rsidP="00601F1C">
          <w:pPr>
            <w:tabs>
              <w:tab w:val="center" w:pos="4680"/>
              <w:tab w:val="right" w:pos="9360"/>
            </w:tabs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11477CA9" w14:textId="77777777" w:rsidR="00601F1C" w:rsidRDefault="00601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77C70" w14:textId="77777777" w:rsidR="004E09C1" w:rsidRDefault="004E09C1" w:rsidP="0095032B">
      <w:pPr>
        <w:spacing w:after="0" w:line="240" w:lineRule="auto"/>
      </w:pPr>
      <w:r>
        <w:separator/>
      </w:r>
    </w:p>
  </w:footnote>
  <w:footnote w:type="continuationSeparator" w:id="0">
    <w:p w14:paraId="11477C71" w14:textId="77777777" w:rsidR="004E09C1" w:rsidRDefault="004E09C1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3197" w14:textId="77777777" w:rsidR="005B4B26" w:rsidRDefault="005B4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2835"/>
      <w:gridCol w:w="3402"/>
      <w:gridCol w:w="3261"/>
    </w:tblGrid>
    <w:tr w:rsidR="005B4B26" w:rsidRPr="00645D79" w14:paraId="378EB709" w14:textId="77777777" w:rsidTr="005B4B26">
      <w:trPr>
        <w:trHeight w:val="701"/>
      </w:trPr>
      <w:tc>
        <w:tcPr>
          <w:tcW w:w="2835" w:type="dxa"/>
        </w:tcPr>
        <w:p w14:paraId="52ACABEA" w14:textId="77777777" w:rsidR="005B4B26" w:rsidRPr="005A12D2" w:rsidRDefault="005B4B26" w:rsidP="00F970A9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910B0E1" wp14:editId="105E9510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19B371C5" w14:textId="77777777" w:rsidR="005B4B26" w:rsidRDefault="005B4B26" w:rsidP="005B4B26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proofErr w:type="spellStart"/>
          <w:r w:rsidRPr="00935602">
            <w:rPr>
              <w:rFonts w:ascii="Arial" w:hAnsi="Arial" w:cs="Arial"/>
              <w:sz w:val="14"/>
              <w:szCs w:val="14"/>
              <w:lang w:val="fr-FR"/>
            </w:rPr>
            <w:t>Ambiguities</w:t>
          </w:r>
          <w:proofErr w:type="spellEnd"/>
          <w:r w:rsidRPr="00935602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Pr="00935602">
            <w:rPr>
              <w:rFonts w:ascii="Arial" w:hAnsi="Arial" w:cs="Arial"/>
              <w:sz w:val="14"/>
              <w:szCs w:val="14"/>
              <w:lang w:val="fr-FR"/>
            </w:rPr>
            <w:t>Inconsistencies</w:t>
          </w:r>
          <w:proofErr w:type="spellEnd"/>
          <w:r w:rsidRPr="00935602">
            <w:rPr>
              <w:rFonts w:ascii="Arial" w:hAnsi="Arial" w:cs="Arial"/>
              <w:sz w:val="14"/>
              <w:szCs w:val="14"/>
              <w:lang w:val="fr-FR"/>
            </w:rPr>
            <w:t xml:space="preserve"> and </w:t>
          </w:r>
          <w:proofErr w:type="spellStart"/>
          <w:r w:rsidRPr="00935602">
            <w:rPr>
              <w:rFonts w:ascii="Arial" w:hAnsi="Arial" w:cs="Arial"/>
              <w:sz w:val="14"/>
              <w:szCs w:val="14"/>
              <w:lang w:val="fr-FR"/>
            </w:rPr>
            <w:t>Conflicts</w:t>
          </w:r>
          <w:proofErr w:type="spellEnd"/>
          <w:r w:rsidRPr="00935602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935602">
            <w:rPr>
              <w:rFonts w:ascii="Arial" w:hAnsi="Arial" w:cs="Arial"/>
              <w:sz w:val="14"/>
              <w:szCs w:val="14"/>
              <w:lang w:val="fr-FR"/>
            </w:rPr>
            <w:t>Advice</w:t>
          </w:r>
          <w:proofErr w:type="spellEnd"/>
        </w:p>
        <w:p w14:paraId="13A39EAB" w14:textId="77777777" w:rsidR="005B4B26" w:rsidRPr="008D305E" w:rsidRDefault="005B4B26" w:rsidP="00F970A9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1</w:t>
          </w:r>
          <w:bookmarkStart w:id="1" w:name="_GoBack"/>
          <w:bookmarkEnd w:id="1"/>
        </w:p>
      </w:tc>
      <w:tc>
        <w:tcPr>
          <w:tcW w:w="3261" w:type="dxa"/>
        </w:tcPr>
        <w:p w14:paraId="070ABAE0" w14:textId="75129F78" w:rsidR="005B4B26" w:rsidRPr="00645D79" w:rsidRDefault="005B4B26" w:rsidP="00F970A9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1628E2">
            <w:rPr>
              <w:rFonts w:ascii="Arial" w:hAnsi="Arial" w:cs="Arial"/>
              <w:sz w:val="14"/>
              <w:szCs w:val="14"/>
              <w:lang w:val="fr-FR"/>
            </w:rPr>
            <w:t>VSY-A08.22-00</w:t>
          </w:r>
          <w:r>
            <w:rPr>
              <w:rFonts w:ascii="Arial" w:hAnsi="Arial" w:cs="Arial"/>
              <w:sz w:val="14"/>
              <w:szCs w:val="14"/>
              <w:lang w:val="fr-FR"/>
            </w:rPr>
            <w:t>29</w:t>
          </w:r>
        </w:p>
        <w:p w14:paraId="50B2E8D4" w14:textId="77777777" w:rsidR="005B4B26" w:rsidRDefault="005B4B26" w:rsidP="00F970A9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b/>
              <w:noProof/>
              <w:sz w:val="16"/>
              <w:szCs w:val="16"/>
              <w:lang w:val="fr-FR"/>
            </w:rPr>
          </w:pPr>
        </w:p>
        <w:p w14:paraId="111A4326" w14:textId="77777777" w:rsidR="005B4B26" w:rsidRPr="00645D79" w:rsidRDefault="005B4B26" w:rsidP="00F970A9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1477C81" w14:textId="77777777" w:rsidR="00721802" w:rsidRPr="00A76278" w:rsidRDefault="00721802" w:rsidP="005B4B26">
    <w:pPr>
      <w:pStyle w:val="Header"/>
      <w:tabs>
        <w:tab w:val="clear" w:pos="9360"/>
        <w:tab w:val="right" w:pos="12474"/>
        <w:tab w:val="right" w:pos="12758"/>
      </w:tabs>
      <w:spacing w:after="120"/>
      <w:ind w:right="488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jc w:val="center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601F1C" w:rsidRPr="00D15F8B" w14:paraId="11477C9B" w14:textId="77777777" w:rsidTr="00C7383A">
      <w:trPr>
        <w:trHeight w:val="813"/>
        <w:jc w:val="center"/>
      </w:trPr>
      <w:tc>
        <w:tcPr>
          <w:tcW w:w="2600" w:type="dxa"/>
        </w:tcPr>
        <w:p w14:paraId="11477C90" w14:textId="77777777" w:rsidR="00601F1C" w:rsidRPr="006D429A" w:rsidRDefault="00601F1C" w:rsidP="003613D4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1477CAC" wp14:editId="11477CAD">
                <wp:extent cx="1494790" cy="365760"/>
                <wp:effectExtent l="19050" t="0" r="0" b="0"/>
                <wp:docPr id="8" name="Picture 8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1477C91" w14:textId="77777777" w:rsidR="00601F1C" w:rsidRPr="008117A7" w:rsidRDefault="00601F1C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1477C92" w14:textId="77777777" w:rsidR="00601F1C" w:rsidRPr="008117A7" w:rsidRDefault="00601F1C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1477C93" w14:textId="77777777" w:rsidR="00601F1C" w:rsidRPr="008117A7" w:rsidRDefault="00601F1C" w:rsidP="003613D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117A7">
            <w:rPr>
              <w:rFonts w:ascii="Arial" w:hAnsi="Arial" w:cs="Arial"/>
              <w:color w:val="808080"/>
              <w:sz w:val="14"/>
              <w:szCs w:val="14"/>
              <w:lang w:val="en-GB"/>
            </w:rPr>
            <w:t>Ambiguities, Inconsistencies and Conflicts Advice, Rev 0</w:t>
          </w:r>
        </w:p>
        <w:p w14:paraId="11477C94" w14:textId="77777777" w:rsidR="00601F1C" w:rsidRPr="008117A7" w:rsidRDefault="00601F1C" w:rsidP="003613D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11477C95" w14:textId="77777777" w:rsidR="00601F1C" w:rsidRPr="008117A7" w:rsidRDefault="00601F1C" w:rsidP="003613D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11477C96" w14:textId="77777777" w:rsidR="00601F1C" w:rsidRPr="006901AC" w:rsidRDefault="00601F1C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8117A7">
            <w:rPr>
              <w:rFonts w:ascii="Arial" w:hAnsi="Arial" w:cs="Arial"/>
              <w:sz w:val="12"/>
              <w:szCs w:val="12"/>
              <w:lang w:val="en-GB"/>
            </w:rPr>
            <w:t xml:space="preserve">Document </w:t>
          </w:r>
          <w:r w:rsidRPr="006901AC">
            <w:rPr>
              <w:rFonts w:ascii="Arial" w:hAnsi="Arial" w:cs="Arial"/>
              <w:sz w:val="12"/>
              <w:szCs w:val="12"/>
              <w:lang w:val="en-GB"/>
            </w:rPr>
            <w:t>#:</w:t>
          </w:r>
          <w:r w:rsidRPr="006901AC">
            <w:rPr>
              <w:rFonts w:ascii="Arial" w:hAnsi="Arial" w:cs="Arial"/>
              <w:sz w:val="12"/>
              <w:szCs w:val="12"/>
            </w:rPr>
            <w:t xml:space="preserve"> </w:t>
          </w:r>
          <w:r w:rsidR="006901AC" w:rsidRPr="006901AC">
            <w:rPr>
              <w:rFonts w:ascii="Arial" w:hAnsi="Arial" w:cs="Arial"/>
              <w:sz w:val="12"/>
              <w:szCs w:val="12"/>
            </w:rPr>
            <w:t>N/A</w:t>
          </w:r>
        </w:p>
        <w:p w14:paraId="11477C97" w14:textId="77777777" w:rsidR="00601F1C" w:rsidRPr="008117A7" w:rsidRDefault="00C7383A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6901AC">
            <w:rPr>
              <w:rFonts w:ascii="Arial" w:hAnsi="Arial" w:cs="Arial"/>
              <w:sz w:val="12"/>
              <w:szCs w:val="12"/>
            </w:rPr>
            <w:t>Agreement</w:t>
          </w:r>
          <w:r w:rsidR="00601F1C" w:rsidRPr="006901AC">
            <w:rPr>
              <w:rFonts w:ascii="Arial" w:hAnsi="Arial" w:cs="Arial"/>
              <w:sz w:val="12"/>
              <w:szCs w:val="12"/>
            </w:rPr>
            <w:t xml:space="preserve"> #: </w:t>
          </w:r>
          <w:r w:rsidRPr="006901AC">
            <w:rPr>
              <w:rFonts w:ascii="Arial" w:hAnsi="Arial" w:cs="Arial"/>
              <w:sz w:val="12"/>
              <w:szCs w:val="12"/>
            </w:rPr>
            <w:t>N/A</w:t>
          </w:r>
        </w:p>
        <w:p w14:paraId="11477C98" w14:textId="77777777" w:rsidR="00601F1C" w:rsidRPr="008117A7" w:rsidRDefault="00601F1C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11477C99" w14:textId="77777777" w:rsidR="00601F1C" w:rsidRPr="008117A7" w:rsidRDefault="00601F1C" w:rsidP="003613D4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8117A7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11477C9A" w14:textId="77777777" w:rsidR="00601F1C" w:rsidRPr="008117A7" w:rsidRDefault="00601F1C" w:rsidP="003613D4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</w:tr>
  </w:tbl>
  <w:p w14:paraId="11477C9C" w14:textId="77777777" w:rsidR="00601F1C" w:rsidRPr="00601F1C" w:rsidRDefault="00601F1C" w:rsidP="00601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7">
    <w:nsid w:val="6E132C09"/>
    <w:multiLevelType w:val="hybridMultilevel"/>
    <w:tmpl w:val="8D2C43DA"/>
    <w:lvl w:ilvl="0" w:tplc="6EDED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26"/>
  </w:num>
  <w:num w:numId="10">
    <w:abstractNumId w:val="0"/>
  </w:num>
  <w:num w:numId="11">
    <w:abstractNumId w:val="32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1"/>
  </w:num>
  <w:num w:numId="22">
    <w:abstractNumId w:val="2"/>
  </w:num>
  <w:num w:numId="23">
    <w:abstractNumId w:val="25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30"/>
  </w:num>
  <w:num w:numId="29">
    <w:abstractNumId w:val="19"/>
  </w:num>
  <w:num w:numId="30">
    <w:abstractNumId w:val="3"/>
  </w:num>
  <w:num w:numId="31">
    <w:abstractNumId w:val="17"/>
  </w:num>
  <w:num w:numId="32">
    <w:abstractNumId w:val="22"/>
  </w:num>
  <w:num w:numId="33">
    <w:abstractNumId w:val="8"/>
  </w:num>
  <w:num w:numId="34">
    <w:abstractNumId w:val="15"/>
  </w:num>
  <w:num w:numId="35">
    <w:abstractNumId w:val="7"/>
  </w:num>
  <w:num w:numId="36">
    <w:abstractNumId w:val="31"/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0"/>
  </w:num>
  <w:num w:numId="47">
    <w:abstractNumId w:val="1"/>
  </w:num>
  <w:num w:numId="48">
    <w:abstractNumId w:val="4"/>
  </w:num>
  <w:num w:numId="49">
    <w:abstractNumId w:val="13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059E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43B9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C5D5E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25247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01DD"/>
    <w:rsid w:val="004A37D5"/>
    <w:rsid w:val="004A523F"/>
    <w:rsid w:val="004B6227"/>
    <w:rsid w:val="004C1825"/>
    <w:rsid w:val="004D24B5"/>
    <w:rsid w:val="004E09C1"/>
    <w:rsid w:val="004E1488"/>
    <w:rsid w:val="004E33F2"/>
    <w:rsid w:val="004E36F9"/>
    <w:rsid w:val="004F40E3"/>
    <w:rsid w:val="004F45A7"/>
    <w:rsid w:val="004F4C4A"/>
    <w:rsid w:val="004F5030"/>
    <w:rsid w:val="00501E71"/>
    <w:rsid w:val="005153F9"/>
    <w:rsid w:val="00520F40"/>
    <w:rsid w:val="005438B1"/>
    <w:rsid w:val="0054691B"/>
    <w:rsid w:val="005619ED"/>
    <w:rsid w:val="00581491"/>
    <w:rsid w:val="00581C65"/>
    <w:rsid w:val="005861B9"/>
    <w:rsid w:val="00590577"/>
    <w:rsid w:val="00590B0E"/>
    <w:rsid w:val="0059250E"/>
    <w:rsid w:val="00593EEA"/>
    <w:rsid w:val="005976E0"/>
    <w:rsid w:val="005A5E7E"/>
    <w:rsid w:val="005B4B26"/>
    <w:rsid w:val="005C2477"/>
    <w:rsid w:val="005C5C00"/>
    <w:rsid w:val="005D7BF5"/>
    <w:rsid w:val="005F0220"/>
    <w:rsid w:val="005F0599"/>
    <w:rsid w:val="005F42E3"/>
    <w:rsid w:val="005F5DCD"/>
    <w:rsid w:val="005F655F"/>
    <w:rsid w:val="00601F1C"/>
    <w:rsid w:val="00613DDE"/>
    <w:rsid w:val="00623ED6"/>
    <w:rsid w:val="006415A8"/>
    <w:rsid w:val="0066152F"/>
    <w:rsid w:val="00670C62"/>
    <w:rsid w:val="006740E2"/>
    <w:rsid w:val="006901AC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17A7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35602"/>
    <w:rsid w:val="0094003C"/>
    <w:rsid w:val="0095032B"/>
    <w:rsid w:val="00956D84"/>
    <w:rsid w:val="0095792F"/>
    <w:rsid w:val="00961355"/>
    <w:rsid w:val="00974547"/>
    <w:rsid w:val="00974D8D"/>
    <w:rsid w:val="009A2415"/>
    <w:rsid w:val="009B4100"/>
    <w:rsid w:val="009B5D61"/>
    <w:rsid w:val="009C3C10"/>
    <w:rsid w:val="009D40F3"/>
    <w:rsid w:val="009F124D"/>
    <w:rsid w:val="00A14FD9"/>
    <w:rsid w:val="00A30BAD"/>
    <w:rsid w:val="00A37925"/>
    <w:rsid w:val="00A531C0"/>
    <w:rsid w:val="00A56A49"/>
    <w:rsid w:val="00A56ED4"/>
    <w:rsid w:val="00A57D0F"/>
    <w:rsid w:val="00A63AA2"/>
    <w:rsid w:val="00A76278"/>
    <w:rsid w:val="00A8312B"/>
    <w:rsid w:val="00A86CCA"/>
    <w:rsid w:val="00A917D1"/>
    <w:rsid w:val="00A91E59"/>
    <w:rsid w:val="00AA0A9E"/>
    <w:rsid w:val="00AB2838"/>
    <w:rsid w:val="00AB32A9"/>
    <w:rsid w:val="00AD1F96"/>
    <w:rsid w:val="00B02B5E"/>
    <w:rsid w:val="00B13EF0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578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383A"/>
    <w:rsid w:val="00C76D80"/>
    <w:rsid w:val="00C82B55"/>
    <w:rsid w:val="00C8317E"/>
    <w:rsid w:val="00C941F2"/>
    <w:rsid w:val="00C946ED"/>
    <w:rsid w:val="00CA78BE"/>
    <w:rsid w:val="00CB03EE"/>
    <w:rsid w:val="00CB2512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7722"/>
    <w:rsid w:val="00E06E68"/>
    <w:rsid w:val="00E10EE8"/>
    <w:rsid w:val="00E7663B"/>
    <w:rsid w:val="00E77E1C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D2FFA"/>
    <w:rsid w:val="00EF2759"/>
    <w:rsid w:val="00EF578D"/>
    <w:rsid w:val="00F000F4"/>
    <w:rsid w:val="00F01088"/>
    <w:rsid w:val="00F23CDB"/>
    <w:rsid w:val="00F26E49"/>
    <w:rsid w:val="00F326D8"/>
    <w:rsid w:val="00F419B3"/>
    <w:rsid w:val="00F57625"/>
    <w:rsid w:val="00F65FC1"/>
    <w:rsid w:val="00F70DAF"/>
    <w:rsid w:val="00F71276"/>
    <w:rsid w:val="00F93B8B"/>
    <w:rsid w:val="00F95479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1477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table" w:customStyle="1" w:styleId="TableGrid11">
    <w:name w:val="Table Grid11"/>
    <w:basedOn w:val="TableNormal"/>
    <w:next w:val="TableGrid"/>
    <w:rsid w:val="0060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table" w:customStyle="1" w:styleId="TableGrid11">
    <w:name w:val="Table Grid11"/>
    <w:basedOn w:val="TableNormal"/>
    <w:next w:val="TableGrid"/>
    <w:rsid w:val="0060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802D-9412-47D6-A08F-3C91B14E8E29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A3B01-CE46-40A2-86DA-942DB15E6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7CB47-E30B-436E-B149-592F99104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0A5B5-5D5C-4C77-BEBD-E0D9CB3E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30</cp:revision>
  <cp:lastPrinted>2017-04-12T14:51:00Z</cp:lastPrinted>
  <dcterms:created xsi:type="dcterms:W3CDTF">2017-04-12T17:43:00Z</dcterms:created>
  <dcterms:modified xsi:type="dcterms:W3CDTF">2018-06-26T00:03:00Z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